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0" w:end="0"/>
        <w:jc w:val="center"/>
        <w:rPr/>
      </w:pPr>
      <w:r>
        <w:rPr/>
        <w:t>BRIEFING FOR TRADING COUNTERPARTIES</w:t>
      </w:r>
    </w:p>
    <w:p>
      <w:pPr>
        <w:pStyle w:val="Normal"/>
        <w:rPr/>
      </w:pPr>
      <w:r>
        <w:rPr/>
      </w:r>
    </w:p>
    <w:p>
      <w:pPr>
        <w:pStyle w:val="Normal"/>
        <w:rPr/>
      </w:pPr>
      <w:r>
        <w:rPr/>
      </w:r>
    </w:p>
    <w:p>
      <w:pPr>
        <w:pStyle w:val="Normal"/>
        <w:ind w:start="360" w:end="0"/>
        <w:jc w:val="both"/>
        <w:rPr>
          <w:rFonts w:ascii="Arial" w:hAnsi="Arial" w:cs="Arial"/>
          <w:b/>
          <w:bCs/>
          <w:u w:val="single"/>
        </w:rPr>
      </w:pPr>
      <w:r>
        <w:rPr>
          <w:rFonts w:cs="Arial" w:ascii="Arial" w:hAnsi="Arial"/>
          <w:b/>
          <w:bCs/>
          <w:u w:val="single"/>
        </w:rPr>
      </w:r>
    </w:p>
    <w:p>
      <w:pPr>
        <w:pStyle w:val="Normal"/>
        <w:jc w:val="both"/>
        <w:rPr>
          <w:rFonts w:ascii="Arial" w:hAnsi="Arial" w:cs="Arial"/>
          <w:b/>
          <w:bCs/>
          <w:u w:val="single"/>
        </w:rPr>
      </w:pPr>
      <w:r>
        <w:rPr>
          <w:rFonts w:cs="Arial" w:ascii="Arial" w:hAnsi="Arial"/>
          <w:b/>
          <w:bCs/>
          <w:u w:val="single"/>
        </w:rPr>
        <w:t>Key Messages</w:t>
      </w:r>
    </w:p>
    <w:p>
      <w:pPr>
        <w:pStyle w:val="Normal"/>
        <w:jc w:val="both"/>
        <w:rPr>
          <w:rFonts w:ascii="Arial" w:hAnsi="Arial" w:cs="Arial"/>
          <w:b/>
          <w:bCs/>
          <w:u w:val="single"/>
        </w:rPr>
      </w:pPr>
      <w:r>
        <w:rPr>
          <w:rFonts w:cs="Arial" w:ascii="Arial" w:hAnsi="Arial"/>
          <w:b/>
          <w:bCs/>
          <w:u w:val="single"/>
        </w:rPr>
      </w:r>
    </w:p>
    <w:p>
      <w:pPr>
        <w:pStyle w:val="Normal"/>
        <w:numPr>
          <w:ilvl w:val="0"/>
          <w:numId w:val="2"/>
        </w:numPr>
        <w:tabs>
          <w:tab w:val="clear" w:pos="720"/>
          <w:tab w:val="left" w:pos="360" w:leader="none"/>
        </w:tabs>
        <w:ind w:hanging="360" w:start="360" w:end="0"/>
        <w:jc w:val="both"/>
        <w:rPr>
          <w:rFonts w:ascii="Arial" w:hAnsi="Arial" w:cs="Arial"/>
        </w:rPr>
      </w:pPr>
      <w:r>
        <w:rPr>
          <w:rFonts w:cs="Arial" w:ascii="Arial" w:hAnsi="Arial"/>
        </w:rPr>
        <w:t>Market rumors regarding concerns about Enron’s financial performance have not impacted on day-to-day business</w:t>
      </w:r>
    </w:p>
    <w:p>
      <w:pPr>
        <w:pStyle w:val="Normal"/>
        <w:jc w:val="both"/>
        <w:rPr>
          <w:rFonts w:ascii="Arial" w:hAnsi="Arial" w:cs="Arial"/>
        </w:rPr>
      </w:pPr>
      <w:r>
        <w:rPr>
          <w:rFonts w:cs="Arial" w:ascii="Arial" w:hAnsi="Arial"/>
        </w:rPr>
      </w:r>
    </w:p>
    <w:p>
      <w:pPr>
        <w:pStyle w:val="Normal"/>
        <w:numPr>
          <w:ilvl w:val="0"/>
          <w:numId w:val="2"/>
        </w:numPr>
        <w:tabs>
          <w:tab w:val="clear" w:pos="720"/>
          <w:tab w:val="left" w:pos="360" w:leader="none"/>
        </w:tabs>
        <w:ind w:hanging="360" w:start="360" w:end="0"/>
        <w:jc w:val="both"/>
        <w:rPr>
          <w:rFonts w:ascii="Arial" w:hAnsi="Arial" w:cs="Arial"/>
        </w:rPr>
      </w:pPr>
      <w:r>
        <w:rPr>
          <w:rFonts w:cs="Arial" w:ascii="Arial" w:hAnsi="Arial"/>
        </w:rPr>
        <w:t xml:space="preserve">We are actively transacting and are continuing to see the level of business on EnronOnline as we would expect given the growth rate of volumes and transactions since EnronOnline’s inception. We are seeing good liquidity, good spreads and good numbers of transactions and types of volumes </w:t>
      </w:r>
    </w:p>
    <w:p>
      <w:pPr>
        <w:pStyle w:val="Normal"/>
        <w:jc w:val="both"/>
        <w:rPr>
          <w:rFonts w:ascii="Arial" w:hAnsi="Arial" w:cs="Arial"/>
        </w:rPr>
      </w:pPr>
      <w:r>
        <w:rPr>
          <w:rFonts w:cs="Arial" w:ascii="Arial" w:hAnsi="Arial"/>
        </w:rPr>
      </w:r>
    </w:p>
    <w:p>
      <w:pPr>
        <w:pStyle w:val="Normal"/>
        <w:numPr>
          <w:ilvl w:val="0"/>
          <w:numId w:val="2"/>
        </w:numPr>
        <w:tabs>
          <w:tab w:val="clear" w:pos="720"/>
          <w:tab w:val="left" w:pos="360" w:leader="none"/>
        </w:tabs>
        <w:ind w:hanging="360" w:start="360" w:end="0"/>
        <w:jc w:val="both"/>
        <w:rPr>
          <w:rFonts w:ascii="Arial" w:hAnsi="Arial" w:cs="Arial"/>
        </w:rPr>
      </w:pPr>
      <w:r>
        <w:rPr>
          <w:rFonts w:cs="Arial" w:ascii="Arial" w:hAnsi="Arial"/>
        </w:rPr>
        <w:t>Clearly, the share price decline is a concern and we are working very hard to turn it around</w:t>
      </w:r>
    </w:p>
    <w:p>
      <w:pPr>
        <w:pStyle w:val="Normal"/>
        <w:jc w:val="both"/>
        <w:rPr>
          <w:rFonts w:ascii="Arial" w:hAnsi="Arial" w:cs="Arial"/>
        </w:rPr>
      </w:pPr>
      <w:r>
        <w:rPr>
          <w:rFonts w:cs="Arial" w:ascii="Arial" w:hAnsi="Arial"/>
        </w:rPr>
      </w:r>
    </w:p>
    <w:p>
      <w:pPr>
        <w:pStyle w:val="Normal"/>
        <w:numPr>
          <w:ilvl w:val="0"/>
          <w:numId w:val="2"/>
        </w:numPr>
        <w:tabs>
          <w:tab w:val="clear" w:pos="720"/>
          <w:tab w:val="left" w:pos="360" w:leader="none"/>
        </w:tabs>
        <w:ind w:hanging="360" w:start="360" w:end="0"/>
        <w:jc w:val="both"/>
        <w:rPr>
          <w:rFonts w:ascii="Arial" w:hAnsi="Arial" w:cs="Arial"/>
        </w:rPr>
      </w:pPr>
      <w:r>
        <w:rPr>
          <w:rFonts w:cs="Arial" w:ascii="Arial" w:hAnsi="Arial"/>
        </w:rPr>
        <w:t xml:space="preserve">Appointing Jeff McMahon as Chief Financial Officer is an important step in that process </w:t>
      </w:r>
      <w:r>
        <w:rPr>
          <w:rFonts w:cs="Arial" w:ascii="Arial" w:hAnsi="Arial"/>
          <w:i/>
          <w:iCs/>
        </w:rPr>
        <w:t>(replacing Andrew Fastow who is on leave of absence)</w:t>
      </w:r>
    </w:p>
    <w:p>
      <w:pPr>
        <w:pStyle w:val="Normal"/>
        <w:jc w:val="both"/>
        <w:rPr>
          <w:rFonts w:ascii="Arial" w:hAnsi="Arial" w:cs="Arial"/>
        </w:rPr>
      </w:pPr>
      <w:r>
        <w:rPr>
          <w:rFonts w:cs="Arial" w:ascii="Arial" w:hAnsi="Arial"/>
        </w:rPr>
      </w:r>
    </w:p>
    <w:p>
      <w:pPr>
        <w:pStyle w:val="Normal"/>
        <w:numPr>
          <w:ilvl w:val="0"/>
          <w:numId w:val="2"/>
        </w:numPr>
        <w:tabs>
          <w:tab w:val="clear" w:pos="720"/>
          <w:tab w:val="left" w:pos="360" w:leader="none"/>
        </w:tabs>
        <w:ind w:hanging="360" w:start="360" w:end="0"/>
        <w:jc w:val="both"/>
        <w:rPr>
          <w:rFonts w:ascii="Arial" w:hAnsi="Arial" w:cs="Arial"/>
        </w:rPr>
      </w:pPr>
      <w:r>
        <w:rPr>
          <w:rFonts w:cs="Arial" w:ascii="Arial" w:hAnsi="Arial"/>
        </w:rPr>
        <w:t>Jeff has been with Enron for seven years – including three years in the London office as Chief Financial Officer for Enron Europe – and has the trust and confidence of our investors and financial institutions</w:t>
      </w:r>
    </w:p>
    <w:p>
      <w:pPr>
        <w:pStyle w:val="Normal"/>
        <w:jc w:val="both"/>
        <w:rPr>
          <w:rFonts w:ascii="Arial" w:hAnsi="Arial" w:cs="Arial"/>
        </w:rPr>
      </w:pPr>
      <w:r>
        <w:rPr>
          <w:rFonts w:cs="Arial" w:ascii="Arial" w:hAnsi="Arial"/>
        </w:rPr>
      </w:r>
    </w:p>
    <w:p>
      <w:pPr>
        <w:pStyle w:val="Normal"/>
        <w:numPr>
          <w:ilvl w:val="0"/>
          <w:numId w:val="2"/>
        </w:numPr>
        <w:tabs>
          <w:tab w:val="clear" w:pos="720"/>
          <w:tab w:val="left" w:pos="360" w:leader="none"/>
        </w:tabs>
        <w:ind w:hanging="360" w:start="360" w:end="0"/>
        <w:jc w:val="both"/>
        <w:rPr>
          <w:rFonts w:ascii="Arial" w:hAnsi="Arial" w:cs="Arial"/>
        </w:rPr>
      </w:pPr>
      <w:r>
        <w:rPr>
          <w:rFonts w:cs="Arial" w:ascii="Arial" w:hAnsi="Arial"/>
        </w:rPr>
        <w:t>Our credit team is happy to talk directly with any counterparties who may have concerns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pPr>
      <w:r>
        <w:rPr/>
        <w:t>Key Facts</w:t>
      </w:r>
    </w:p>
    <w:p>
      <w:pPr>
        <w:pStyle w:val="Normal"/>
        <w:tabs>
          <w:tab w:val="clear" w:pos="720"/>
          <w:tab w:val="left" w:pos="1080" w:leader="none"/>
        </w:tabs>
        <w:rPr>
          <w:rFonts w:ascii="Arial" w:hAnsi="Arial" w:cs="Arial"/>
        </w:rPr>
      </w:pPr>
      <w:r>
        <w:rPr>
          <w:rFonts w:cs="Arial" w:ascii="Arial" w:hAnsi="Arial"/>
        </w:rPr>
      </w:r>
    </w:p>
    <w:p>
      <w:pPr>
        <w:pStyle w:val="Normal"/>
        <w:numPr>
          <w:ilvl w:val="0"/>
          <w:numId w:val="3"/>
        </w:numPr>
        <w:tabs>
          <w:tab w:val="clear" w:pos="720"/>
          <w:tab w:val="left" w:pos="1080" w:leader="none"/>
        </w:tabs>
        <w:rPr>
          <w:rFonts w:ascii="Arial" w:hAnsi="Arial" w:cs="Arial"/>
        </w:rPr>
      </w:pPr>
      <w:r>
        <w:rPr>
          <w:rFonts w:cs="Arial" w:ascii="Arial" w:hAnsi="Arial"/>
        </w:rPr>
        <w:t>Revenues for the first nine months of more than $139 billion as compared to $60 billion for the equivalent period in 2000</w:t>
      </w:r>
    </w:p>
    <w:p>
      <w:pPr>
        <w:pStyle w:val="Normal"/>
        <w:tabs>
          <w:tab w:val="clear" w:pos="720"/>
          <w:tab w:val="left" w:pos="1080" w:leader="none"/>
        </w:tabs>
        <w:rPr>
          <w:rFonts w:ascii="Arial" w:hAnsi="Arial" w:cs="Arial"/>
        </w:rPr>
      </w:pPr>
      <w:r>
        <w:rPr>
          <w:rFonts w:cs="Arial" w:ascii="Arial" w:hAnsi="Arial"/>
        </w:rPr>
      </w:r>
    </w:p>
    <w:p>
      <w:pPr>
        <w:pStyle w:val="Normal"/>
        <w:numPr>
          <w:ilvl w:val="0"/>
          <w:numId w:val="3"/>
        </w:numPr>
        <w:tabs>
          <w:tab w:val="clear" w:pos="720"/>
          <w:tab w:val="left" w:pos="1080" w:leader="none"/>
        </w:tabs>
        <w:rPr>
          <w:rFonts w:ascii="Arial" w:hAnsi="Arial" w:cs="Arial"/>
        </w:rPr>
      </w:pPr>
      <w:r>
        <w:rPr>
          <w:rFonts w:cs="Arial" w:ascii="Arial" w:hAnsi="Arial"/>
        </w:rPr>
        <w:t>Earnings are still on track for the year with the company reporting earnings per diluted share of $0.43 for the 3</w:t>
      </w:r>
      <w:r>
        <w:rPr>
          <w:rFonts w:cs="Arial" w:ascii="Arial" w:hAnsi="Arial"/>
          <w:vertAlign w:val="superscript"/>
        </w:rPr>
        <w:t>rd</w:t>
      </w:r>
      <w:r>
        <w:rPr>
          <w:rFonts w:cs="Arial" w:ascii="Arial" w:hAnsi="Arial"/>
        </w:rPr>
        <w:t xml:space="preserve"> Quarter with a target of $0.45 for the 4</w:t>
      </w:r>
      <w:r>
        <w:rPr>
          <w:rFonts w:cs="Arial" w:ascii="Arial" w:hAnsi="Arial"/>
          <w:vertAlign w:val="superscript"/>
        </w:rPr>
        <w:t>th</w:t>
      </w:r>
      <w:r>
        <w:rPr>
          <w:rFonts w:cs="Arial" w:ascii="Arial" w:hAnsi="Arial"/>
        </w:rPr>
        <w:t xml:space="preserve"> Quarter – this reaffirms our target of $1.80 for 2001 and $2.15 for 2002</w:t>
      </w:r>
    </w:p>
    <w:p>
      <w:pPr>
        <w:pStyle w:val="Normal"/>
        <w:tabs>
          <w:tab w:val="clear" w:pos="720"/>
          <w:tab w:val="left" w:pos="1080" w:leader="none"/>
        </w:tabs>
        <w:rPr>
          <w:rFonts w:ascii="Arial" w:hAnsi="Arial" w:cs="Arial"/>
        </w:rPr>
      </w:pPr>
      <w:r>
        <w:rPr>
          <w:rFonts w:cs="Arial" w:ascii="Arial" w:hAnsi="Arial"/>
        </w:rPr>
      </w:r>
    </w:p>
    <w:p>
      <w:pPr>
        <w:pStyle w:val="Normal"/>
        <w:numPr>
          <w:ilvl w:val="0"/>
          <w:numId w:val="3"/>
        </w:numPr>
        <w:tabs>
          <w:tab w:val="clear" w:pos="720"/>
          <w:tab w:val="left" w:pos="1080" w:leader="none"/>
        </w:tabs>
        <w:rPr>
          <w:rFonts w:ascii="Arial" w:hAnsi="Arial" w:cs="Arial"/>
        </w:rPr>
      </w:pPr>
      <w:r>
        <w:rPr>
          <w:rFonts w:cs="Arial" w:ascii="Arial" w:hAnsi="Arial"/>
        </w:rPr>
        <w:t>Enron’s worldwide wholesale business continues to go from strength to strength with overall physical volumes up 65% to 88.2 Tbtue/day</w:t>
      </w:r>
    </w:p>
    <w:p>
      <w:pPr>
        <w:pStyle w:val="Normal"/>
        <w:tabs>
          <w:tab w:val="clear" w:pos="720"/>
          <w:tab w:val="left" w:pos="1080" w:leader="none"/>
        </w:tabs>
        <w:rPr>
          <w:rFonts w:ascii="Arial" w:hAnsi="Arial" w:cs="Arial"/>
        </w:rPr>
      </w:pPr>
      <w:r>
        <w:rPr>
          <w:rFonts w:cs="Arial" w:ascii="Arial" w:hAnsi="Arial"/>
        </w:rPr>
      </w:r>
    </w:p>
    <w:p>
      <w:pPr>
        <w:pStyle w:val="Normal"/>
        <w:numPr>
          <w:ilvl w:val="0"/>
          <w:numId w:val="3"/>
        </w:numPr>
        <w:tabs>
          <w:tab w:val="clear" w:pos="720"/>
          <w:tab w:val="left" w:pos="1080" w:leader="none"/>
        </w:tabs>
        <w:rPr>
          <w:rFonts w:ascii="Arial" w:hAnsi="Arial" w:cs="Arial"/>
        </w:rPr>
      </w:pPr>
      <w:r>
        <w:rPr>
          <w:rFonts w:cs="Arial" w:ascii="Arial" w:hAnsi="Arial"/>
        </w:rPr>
        <w:t>Specifically, in Europe, wholesale volumes continued to grow with gas and power volumes up by 147% and 161%, respectively, between Q3 2001 and the same period last year</w:t>
      </w:r>
    </w:p>
    <w:p>
      <w:pPr>
        <w:pStyle w:val="Normal"/>
        <w:jc w:val="both"/>
        <w:rPr>
          <w:rFonts w:ascii="Arial" w:hAnsi="Arial" w:cs="Arial"/>
          <w:b/>
          <w:bCs/>
          <w:u w:val="single"/>
        </w:rPr>
      </w:pPr>
      <w:r>
        <w:rPr>
          <w:rFonts w:cs="Arial" w:ascii="Arial" w:hAnsi="Arial"/>
          <w:b/>
          <w:bCs/>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jc w:val="both"/>
      <w:outlineLvl w:val="0"/>
    </w:pPr>
    <w:rPr>
      <w:rFonts w:ascii="Arial" w:hAnsi="Arial" w:cs="Arial"/>
      <w:b/>
      <w:bCs/>
      <w:u w:val="single"/>
    </w:rPr>
  </w:style>
  <w:style w:type="paragraph" w:styleId="Heading2">
    <w:name w:val="heading 2"/>
    <w:basedOn w:val="Normal"/>
    <w:next w:val="Normal"/>
    <w:qFormat/>
    <w:pPr>
      <w:keepNext w:val="true"/>
      <w:numPr>
        <w:ilvl w:val="1"/>
        <w:numId w:val="1"/>
      </w:numPr>
      <w:jc w:val="both"/>
      <w:outlineLvl w:val="1"/>
    </w:pPr>
    <w:rPr>
      <w:rFonts w:ascii="Arial" w:hAnsi="Arial" w:cs="Arial"/>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2001-10-25T14:02:00Z</dcterms:created>
  <dc:creator>aparson2</dc:creator>
  <dc:description/>
  <dc:language>en-CA</dc:language>
  <cp:lastModifiedBy>fgrant</cp:lastModifiedBy>
  <cp:lastPrinted>2001-10-25T17:32:00Z</cp:lastPrinted>
  <dcterms:modified xsi:type="dcterms:W3CDTF">2001-10-25T14:18:00Z</dcterms:modified>
  <cp:revision>3</cp:revision>
  <dc:subject/>
  <dc:title>·</dc:title>
</cp:coreProperties>
</file>