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BodyText2"/>
        <w:rPr/>
      </w:pPr>
      <w:r>
        <w:rPr/>
        <w:t>POSITION OF THE INTERSTATE NATURAL GAS ASSOCIATION OF AMERICA</w:t>
      </w:r>
    </w:p>
    <w:p>
      <w:pPr>
        <w:pStyle w:val="Normal"/>
        <w:jc w:val="center"/>
        <w:rPr>
          <w:b/>
          <w:bCs/>
        </w:rPr>
      </w:pPr>
      <w:r>
        <w:rPr>
          <w:b/>
          <w:bCs/>
        </w:rPr>
        <w:t>ON SENATOR MCCAIN’S PIPELINE SAFETY BILL</w:t>
      </w:r>
    </w:p>
    <w:p>
      <w:pPr>
        <w:pStyle w:val="Normal"/>
        <w:jc w:val="center"/>
        <w:rPr>
          <w:b/>
          <w:bCs/>
        </w:rPr>
      </w:pPr>
      <w:r>
        <w:rPr>
          <w:b/>
          <w:bCs/>
        </w:rPr>
        <w:t>S. 2438</w:t>
      </w:r>
    </w:p>
    <w:p>
      <w:pPr>
        <w:pStyle w:val="Normal"/>
        <w:rPr>
          <w:b/>
          <w:bCs/>
        </w:rPr>
      </w:pPr>
      <w:r>
        <w:rPr>
          <w:b/>
          <w:bCs/>
        </w:rPr>
      </w:r>
    </w:p>
    <w:p>
      <w:pPr>
        <w:pStyle w:val="Normal"/>
        <w:rPr/>
      </w:pPr>
      <w:r>
        <w:rPr/>
        <w:t xml:space="preserve">      </w:t>
      </w:r>
      <w:r>
        <w:rPr/>
        <w:t>Natural gas, petroleum and petroleum liquids have different properties.  They also have different probabilities of an accident and consequences resulting from an accident.</w:t>
      </w:r>
    </w:p>
    <w:p>
      <w:pPr>
        <w:pStyle w:val="Normal"/>
        <w:rPr/>
      </w:pPr>
      <w:r>
        <w:rPr/>
        <w:t>Compression moves natural gas through pipelines while pumping moves petroleum and petroleum liquids.  The Interstate Natural Gas Association of America wants to ensure that these differences, including differences in the way natural gas and liquid pipelines are regulated, be reflected in legislation.  While S. 2438 does seem to account for this, INGAA does have concerns with individual provisions of this legislation.</w:t>
      </w:r>
    </w:p>
    <w:p>
      <w:pPr>
        <w:pStyle w:val="Normal"/>
        <w:rPr/>
      </w:pPr>
      <w:r>
        <w:rPr/>
      </w:r>
    </w:p>
    <w:p>
      <w:pPr>
        <w:pStyle w:val="Heading1"/>
        <w:ind w:hanging="0" w:start="0"/>
        <w:rPr/>
      </w:pPr>
      <w:r>
        <w:rPr/>
        <w:t xml:space="preserve">Recommendations by the Inspector General </w:t>
      </w:r>
    </w:p>
    <w:p>
      <w:pPr>
        <w:pStyle w:val="Normal"/>
        <w:jc w:val="center"/>
        <w:rPr>
          <w:b/>
          <w:bCs/>
        </w:rPr>
      </w:pPr>
      <w:r>
        <w:rPr>
          <w:b/>
          <w:bCs/>
        </w:rPr>
      </w:r>
    </w:p>
    <w:p>
      <w:pPr>
        <w:pStyle w:val="Normal"/>
        <w:autoSpaceDE w:val="false"/>
        <w:rPr>
          <w:szCs w:val="20"/>
        </w:rPr>
      </w:pPr>
      <w:r>
        <w:rPr>
          <w:szCs w:val="20"/>
        </w:rPr>
        <w:t>Section 2 of the bill requires OPS to respond to the recommendations of the IG report.  One such recommendation requires OPS to finalize actions required by 1992 and 1996 Pipeline Safety Reauthorization laws that include increased inspection standards using internal inspection devices such as smart pigs.  DOT is now working on such a rulemaking for natural gas pipelines.  However, Section 5 of S. 2438 calls for the Secretary to issue regulations to require pipeline operators to perform periodic inspections in “unusually sensitive areas and high-density population areas.”  INGAA is concerned that Section 2 and Section 5 duplicate each other but can be interpreted to require two separate rulemakings.  The I.G.’s report also can be duplicative regarding improved data (Section 10) and possibly research (Section 11).  We suggest that language be added to Section 2 that states, “Unless otherwise required by the provisions in this Act…”</w:t>
      </w:r>
    </w:p>
    <w:p>
      <w:pPr>
        <w:pStyle w:val="Normal"/>
        <w:autoSpaceDE w:val="false"/>
        <w:rPr>
          <w:szCs w:val="20"/>
        </w:rPr>
      </w:pPr>
      <w:r>
        <w:rPr>
          <w:szCs w:val="20"/>
        </w:rPr>
      </w:r>
    </w:p>
    <w:p>
      <w:pPr>
        <w:pStyle w:val="Heading1"/>
        <w:autoSpaceDE w:val="false"/>
        <w:ind w:hanging="0" w:start="0"/>
        <w:rPr>
          <w:szCs w:val="20"/>
        </w:rPr>
      </w:pPr>
      <w:r>
        <w:rPr>
          <w:szCs w:val="20"/>
        </w:rPr>
        <w:t>Qualifications of Pipeline Personnel</w:t>
      </w:r>
    </w:p>
    <w:p>
      <w:pPr>
        <w:pStyle w:val="Normal"/>
        <w:autoSpaceDE w:val="false"/>
        <w:ind w:start="360" w:end="0"/>
        <w:rPr>
          <w:szCs w:val="20"/>
        </w:rPr>
      </w:pPr>
      <w:r>
        <w:rPr>
          <w:szCs w:val="20"/>
        </w:rPr>
      </w:r>
    </w:p>
    <w:p>
      <w:pPr>
        <w:pStyle w:val="Normal"/>
        <w:autoSpaceDE w:val="false"/>
        <w:rPr>
          <w:szCs w:val="20"/>
        </w:rPr>
      </w:pPr>
      <w:r>
        <w:rPr>
          <w:szCs w:val="20"/>
        </w:rPr>
        <w:t>Section 4 requires pipelines to submit to DOT a training plan for our employees within six months of enactment.  This is in conflict with the Operator Qualification Rule compliance procedures we are implementing.  This Rule is the result of a negotiated rulemaking that included representatives of natural gas transmission and distribution pipelines, liquid pipelines, state pipeline safety representatives, emergency response agencies, labor unions, corrosion experts, federal safety agencies and others.  It requires each company to establish a written qualification program to evaluate the ability of employees and contractor personnel. This rule already has a training component.  DOT is to audit each company’s program and can “benchmark” company programs against each other to ensure the adequacy of these qualification programs.</w:t>
      </w:r>
    </w:p>
    <w:p>
      <w:pPr>
        <w:pStyle w:val="Normal"/>
        <w:autoSpaceDE w:val="false"/>
        <w:rPr>
          <w:szCs w:val="20"/>
        </w:rPr>
      </w:pPr>
      <w:r>
        <w:rPr>
          <w:szCs w:val="20"/>
        </w:rPr>
      </w:r>
    </w:p>
    <w:p>
      <w:pPr>
        <w:pStyle w:val="Heading1"/>
        <w:autoSpaceDE w:val="false"/>
        <w:ind w:hanging="0" w:start="0"/>
        <w:rPr>
          <w:szCs w:val="20"/>
        </w:rPr>
      </w:pPr>
      <w:r>
        <w:rPr>
          <w:szCs w:val="20"/>
        </w:rPr>
        <w:t>Pipeline Integrity Inspection Program</w:t>
      </w:r>
    </w:p>
    <w:p>
      <w:pPr>
        <w:pStyle w:val="Normal"/>
        <w:autoSpaceDE w:val="false"/>
        <w:rPr>
          <w:szCs w:val="20"/>
          <w:u w:val="single"/>
        </w:rPr>
      </w:pPr>
      <w:r>
        <w:rPr>
          <w:szCs w:val="20"/>
          <w:u w:val="single"/>
        </w:rPr>
      </w:r>
    </w:p>
    <w:p>
      <w:pPr>
        <w:pStyle w:val="Normal"/>
        <w:autoSpaceDE w:val="false"/>
        <w:rPr>
          <w:szCs w:val="20"/>
        </w:rPr>
      </w:pPr>
      <w:r>
        <w:rPr>
          <w:szCs w:val="20"/>
        </w:rPr>
        <w:t>Section 5 requires the Secretary to establish an inspection program to assure that pipelines operate safely in “unusually sensitive areas and high-density population areas.”</w:t>
      </w:r>
    </w:p>
    <w:p>
      <w:pPr>
        <w:pStyle w:val="Normal"/>
        <w:autoSpaceDE w:val="false"/>
        <w:rPr>
          <w:szCs w:val="20"/>
        </w:rPr>
      </w:pPr>
      <w:r>
        <w:rPr>
          <w:szCs w:val="20"/>
        </w:rPr>
        <w:t>“</w:t>
      </w:r>
      <w:r>
        <w:rPr>
          <w:szCs w:val="20"/>
        </w:rPr>
        <w:t>High-density population areas” in the law refers to both natural gas and liquid pipelines.</w:t>
      </w:r>
    </w:p>
    <w:p>
      <w:pPr>
        <w:pStyle w:val="Normal"/>
        <w:autoSpaceDE w:val="false"/>
        <w:rPr>
          <w:szCs w:val="20"/>
        </w:rPr>
      </w:pPr>
      <w:r>
        <w:rPr>
          <w:szCs w:val="20"/>
        </w:rPr>
        <w:t>However, “unusually sensitive areas” in the law refers only to liquid pipelines.  INGAA</w:t>
      </w:r>
    </w:p>
    <w:p>
      <w:pPr>
        <w:pStyle w:val="Normal"/>
        <w:autoSpaceDE w:val="false"/>
        <w:rPr>
          <w:szCs w:val="20"/>
        </w:rPr>
      </w:pPr>
      <w:r>
        <w:rPr>
          <w:szCs w:val="20"/>
        </w:rPr>
        <w:t>is seeking this clarification in S. 2438.</w:t>
      </w:r>
    </w:p>
    <w:p>
      <w:pPr>
        <w:pStyle w:val="Normal"/>
        <w:autoSpaceDE w:val="false"/>
        <w:rPr>
          <w:szCs w:val="20"/>
        </w:rPr>
      </w:pPr>
      <w:r>
        <w:rPr>
          <w:szCs w:val="20"/>
        </w:rPr>
      </w:r>
    </w:p>
    <w:p>
      <w:pPr>
        <w:pStyle w:val="Heading1"/>
        <w:autoSpaceDE w:val="false"/>
        <w:ind w:hanging="0" w:start="0"/>
        <w:rPr>
          <w:szCs w:val="20"/>
        </w:rPr>
      </w:pPr>
      <w:r>
        <w:rPr>
          <w:szCs w:val="20"/>
        </w:rPr>
        <w:t>Shutdown Authority</w:t>
      </w:r>
    </w:p>
    <w:p>
      <w:pPr>
        <w:pStyle w:val="Normal"/>
        <w:autoSpaceDE w:val="false"/>
        <w:rPr>
          <w:szCs w:val="20"/>
        </w:rPr>
      </w:pPr>
      <w:r>
        <w:rPr>
          <w:szCs w:val="20"/>
        </w:rPr>
      </w:r>
    </w:p>
    <w:p>
      <w:pPr>
        <w:pStyle w:val="Normal"/>
        <w:autoSpaceDE w:val="false"/>
        <w:rPr>
          <w:szCs w:val="20"/>
        </w:rPr>
      </w:pPr>
      <w:r>
        <w:rPr>
          <w:szCs w:val="20"/>
        </w:rPr>
        <w:t>While the language in Section 6 basically restates authority the Secretary already has to shutdown a pipeline, it does not restate the authority he/she has to limit the operation of the pipeline in other ways, such as by reducing the pressure.  INGAA believes that this authority should also be reflected in the law.</w:t>
      </w:r>
    </w:p>
    <w:p>
      <w:pPr>
        <w:pStyle w:val="Normal"/>
        <w:autoSpaceDE w:val="false"/>
        <w:rPr>
          <w:szCs w:val="20"/>
        </w:rPr>
      </w:pPr>
      <w:r>
        <w:rPr>
          <w:szCs w:val="20"/>
        </w:rPr>
      </w:r>
    </w:p>
    <w:p>
      <w:pPr>
        <w:pStyle w:val="Heading1"/>
        <w:autoSpaceDE w:val="false"/>
        <w:ind w:hanging="0" w:start="0"/>
        <w:rPr>
          <w:szCs w:val="20"/>
        </w:rPr>
      </w:pPr>
      <w:r>
        <w:rPr>
          <w:szCs w:val="20"/>
        </w:rPr>
        <w:t>Public Education</w:t>
      </w:r>
    </w:p>
    <w:p>
      <w:pPr>
        <w:pStyle w:val="Normal"/>
        <w:autoSpaceDE w:val="false"/>
        <w:ind w:start="360" w:end="0"/>
        <w:rPr>
          <w:szCs w:val="20"/>
        </w:rPr>
      </w:pPr>
      <w:r>
        <w:rPr>
          <w:szCs w:val="20"/>
        </w:rPr>
      </w:r>
    </w:p>
    <w:p>
      <w:pPr>
        <w:pStyle w:val="Normal"/>
        <w:autoSpaceDE w:val="false"/>
        <w:rPr>
          <w:szCs w:val="20"/>
        </w:rPr>
      </w:pPr>
      <w:r>
        <w:rPr>
          <w:szCs w:val="20"/>
        </w:rPr>
        <w:t>Under Section 7(a)(2), pipelines are required to submit to the Secretary a plan for public education.  It is to “include activities to “advise municipalities, school districts, businesses, and residents of pipeline facility locations.”  This requirement appears to be quite broad and open-ended.  Does it mean those affected residents, schools—that is those by a pipeline--or an entire city or the entire state?  INGAA recommends that the intention of this language be clarified.</w:t>
      </w:r>
    </w:p>
    <w:p>
      <w:pPr>
        <w:pStyle w:val="Normal"/>
        <w:autoSpaceDE w:val="false"/>
        <w:rPr>
          <w:szCs w:val="20"/>
        </w:rPr>
      </w:pPr>
      <w:r>
        <w:rPr>
          <w:szCs w:val="20"/>
        </w:rPr>
      </w:r>
    </w:p>
    <w:p>
      <w:pPr>
        <w:pStyle w:val="Heading1"/>
        <w:autoSpaceDE w:val="false"/>
        <w:ind w:hanging="0" w:start="0"/>
        <w:rPr>
          <w:szCs w:val="20"/>
        </w:rPr>
      </w:pPr>
      <w:r>
        <w:rPr>
          <w:szCs w:val="20"/>
        </w:rPr>
        <w:t>Penalties</w:t>
      </w:r>
    </w:p>
    <w:p>
      <w:pPr>
        <w:pStyle w:val="Normal"/>
        <w:rPr>
          <w:szCs w:val="20"/>
        </w:rPr>
      </w:pPr>
      <w:r>
        <w:rPr>
          <w:szCs w:val="20"/>
        </w:rPr>
      </w:r>
    </w:p>
    <w:p>
      <w:pPr>
        <w:pStyle w:val="Normal"/>
        <w:rPr/>
      </w:pPr>
      <w:r>
        <w:rPr/>
        <w:t>There is no justification for increasing the civil penalties in Section 8.  This change also seems to assume that operators do not care about the safety of their facilities and will only respond to stiff penalties.</w:t>
      </w:r>
    </w:p>
    <w:p>
      <w:pPr>
        <w:pStyle w:val="Normal"/>
        <w:rPr/>
      </w:pPr>
      <w:r>
        <w:rPr/>
      </w:r>
    </w:p>
    <w:p>
      <w:pPr>
        <w:pStyle w:val="Heading1"/>
        <w:ind w:hanging="0" w:start="0"/>
        <w:rPr/>
      </w:pPr>
      <w:r>
        <w:rPr/>
        <w:t>Enhanced State Authority</w:t>
      </w:r>
    </w:p>
    <w:p>
      <w:pPr>
        <w:pStyle w:val="Normal"/>
        <w:rPr>
          <w:u w:val="single"/>
        </w:rPr>
      </w:pPr>
      <w:r>
        <w:rPr>
          <w:u w:val="single"/>
        </w:rPr>
      </w:r>
    </w:p>
    <w:p>
      <w:pPr>
        <w:pStyle w:val="Normal"/>
        <w:rPr/>
      </w:pPr>
      <w:r>
        <w:rPr/>
        <w:t xml:space="preserve">INGAA is extremely concerned about the language in Sec. 9(a)(3) that says “participation by the State authority in other activities…that supplement the Secretary’s program and address issues of local concern”.  Does this mean that the state oversees the pipeline </w:t>
      </w:r>
      <w:r>
        <w:rPr>
          <w:u w:val="single"/>
        </w:rPr>
        <w:t>jointly</w:t>
      </w:r>
      <w:r>
        <w:rPr/>
        <w:t xml:space="preserve"> with OPS?  Does it mean that the state can require additional procedures that a pipeline must follow?  The intent of legislation often changes with time because the language can be interpreted different ways.   We read it, on its face, to permit states to set stricter standards, in certain circumstances, for interstate pipelines.  Large pipelines may pass through many state and local jurisdictions but it still must operate and be maintained as a single system.  The actions of one state might negatively affect gas service and deliverability to consumers in other states in which the pipeline operates.  These actions can also take necessary resources away from a total safety program to focus on the requirements of just one state. Also, this language could be interpreted to expand state authority beyond issues of pipeline safety.  INGAA finds this particular language is most unclear and troublesome.</w:t>
      </w:r>
    </w:p>
    <w:p>
      <w:pPr>
        <w:pStyle w:val="Normal"/>
        <w:rPr/>
      </w:pPr>
      <w:r>
        <w:rPr/>
      </w:r>
    </w:p>
    <w:p>
      <w:pPr>
        <w:pStyle w:val="Heading1"/>
        <w:ind w:hanging="0" w:start="0"/>
        <w:rPr/>
      </w:pPr>
      <w:r>
        <w:rPr/>
        <w:t>Research</w:t>
      </w:r>
    </w:p>
    <w:p>
      <w:pPr>
        <w:pStyle w:val="Normal"/>
        <w:rPr/>
      </w:pPr>
      <w:r>
        <w:rPr/>
      </w:r>
    </w:p>
    <w:p>
      <w:pPr>
        <w:pStyle w:val="BodyTextIndent2"/>
        <w:ind w:start="0" w:end="0"/>
        <w:rPr/>
      </w:pPr>
      <w:r>
        <w:rPr/>
        <w:t>Section 10 requires DOT to direct research efforts to the development of innovative safety technologies.  The natural gas pipeline industry has been working</w:t>
      </w:r>
    </w:p>
    <w:p>
      <w:pPr>
        <w:pStyle w:val="BodyTextIndent"/>
        <w:ind w:start="0" w:end="0"/>
        <w:rPr>
          <w:sz w:val="24"/>
        </w:rPr>
      </w:pPr>
      <w:r>
        <w:rPr>
          <w:sz w:val="24"/>
        </w:rPr>
        <w:t>on improving these technologies for about 50 years.  If Congress believes that DOT should be involved in this research, Congress must provide guidance and accountability for the money spent.  Some research efforts by government that have been undertaken in the past have provided minimal benefits to technology improvement.  Any expenditures for research need to be spent wisely.  Also, there is no provision for DOT to collaborate with other viable research groups that already have established research efforts prioritized to focus on improved pipeline safety.  DOT needs assistance on how the technologies have developed to establish priorities for development of new technologies.</w:t>
      </w:r>
    </w:p>
    <w:p>
      <w:pPr>
        <w:pStyle w:val="BodyTextIndent"/>
        <w:ind w:start="0" w:end="0"/>
        <w:rPr>
          <w:sz w:val="24"/>
        </w:rPr>
      </w:pPr>
      <w:r>
        <w:rPr>
          <w:sz w:val="24"/>
        </w:rPr>
      </w:r>
    </w:p>
    <w:p>
      <w:pPr>
        <w:pStyle w:val="BodyTextIndent"/>
        <w:ind w:start="0" w:end="0"/>
        <w:rPr>
          <w:sz w:val="24"/>
          <w:u w:val="single"/>
        </w:rPr>
      </w:pPr>
      <w:r>
        <w:rPr>
          <w:sz w:val="24"/>
          <w:u w:val="single"/>
        </w:rPr>
        <w:t>Authorization of Appropriations</w:t>
      </w:r>
    </w:p>
    <w:p>
      <w:pPr>
        <w:pStyle w:val="Normal"/>
        <w:autoSpaceDE w:val="false"/>
        <w:ind w:start="360" w:end="0"/>
        <w:rPr>
          <w:sz w:val="24"/>
          <w:szCs w:val="20"/>
          <w:u w:val="single"/>
        </w:rPr>
      </w:pPr>
      <w:r>
        <w:rPr>
          <w:sz w:val="24"/>
          <w:szCs w:val="20"/>
          <w:u w:val="single"/>
        </w:rPr>
      </w:r>
    </w:p>
    <w:p>
      <w:pPr>
        <w:pStyle w:val="Normal"/>
        <w:autoSpaceDE w:val="false"/>
        <w:rPr>
          <w:szCs w:val="20"/>
        </w:rPr>
      </w:pPr>
      <w:r>
        <w:rPr>
          <w:szCs w:val="20"/>
        </w:rPr>
        <w:t>Section 12 of the bill increases the user fee from $30 million today, to $35 million for FY'01 and $38 million for FY'02 and '03.  It also increases amounts from the oil spill liability fund to $8 million but does not reflect money from the Pipeline Safety Reserve Fund.  However, it is unclear how these dollars are to be spent.  We have had experience in the past where OPS has had significant budget increases, and has not spent the money well.  As a major portion of the OPS budget comes from user fees from pipelines, we are concerned about increases and whether this money will be wisely spent.  INGAA wants to work with the Committee on this important issue.</w:t>
      </w:r>
    </w:p>
    <w:p>
      <w:pPr>
        <w:pStyle w:val="Normal"/>
        <w:autoSpaceDE w:val="false"/>
        <w:rPr>
          <w:szCs w:val="20"/>
        </w:rPr>
      </w:pPr>
      <w:r>
        <w:rPr>
          <w:szCs w:val="20"/>
        </w:rPr>
      </w:r>
    </w:p>
    <w:p>
      <w:pPr>
        <w:pStyle w:val="Heading1"/>
        <w:autoSpaceDE w:val="false"/>
        <w:ind w:hanging="0" w:start="0"/>
        <w:rPr>
          <w:szCs w:val="20"/>
        </w:rPr>
      </w:pPr>
      <w:r>
        <w:rPr>
          <w:szCs w:val="20"/>
        </w:rPr>
        <w:t>Provision that must be added to S. 2438</w:t>
      </w:r>
    </w:p>
    <w:p>
      <w:pPr>
        <w:pStyle w:val="Normal"/>
        <w:autoSpaceDE w:val="false"/>
        <w:ind w:start="360" w:end="0"/>
        <w:rPr>
          <w:szCs w:val="20"/>
        </w:rPr>
      </w:pPr>
      <w:r>
        <w:rPr>
          <w:szCs w:val="20"/>
        </w:rPr>
      </w:r>
    </w:p>
    <w:p>
      <w:pPr>
        <w:pStyle w:val="Normal"/>
        <w:autoSpaceDE w:val="false"/>
        <w:rPr/>
      </w:pPr>
      <w:r>
        <w:rPr>
          <w:szCs w:val="20"/>
        </w:rPr>
        <w:t xml:space="preserve">S. 2438 does not contain the language in the Administration bill (Section 4 (c)) that would correct the reading of the statute by the district court in </w:t>
      </w:r>
      <w:r>
        <w:rPr>
          <w:i/>
          <w:iCs/>
          <w:szCs w:val="20"/>
        </w:rPr>
        <w:t>United States v. Plummer</w:t>
      </w:r>
      <w:r>
        <w:rPr>
          <w:szCs w:val="20"/>
        </w:rPr>
        <w:t>, CR99-121 (D. Min. 1999).  The district court found that the excavator knowingly and willfully excavated without using the available one-call notification system and that the excavator struck an underground hazardous liquid pipeline resulting in a spill of 4,700 barrels.  Although the excavator pleaded guilty to violation of the Clean Water Act, the district court dismissed the count under section 60123(d)(1).  The court found that the location of the term “knowingly and willfully” in that section requires that a prosecutor prove that an excavator who disregards one-call notification and damages a pipeline intended to cause that damage.  Clarification of section 60123(d)(1) must be in any legislation.</w:t>
      </w:r>
    </w:p>
    <w:p>
      <w:pPr>
        <w:pStyle w:val="Normal"/>
        <w:rPr>
          <w:szCs w:val="20"/>
        </w:rPr>
      </w:pPr>
      <w:r>
        <w:rPr>
          <w:szCs w:val="20"/>
        </w:rPr>
      </w:r>
    </w:p>
    <w:p>
      <w:pPr>
        <w:pStyle w:val="Normal"/>
        <w:rPr>
          <w:b/>
          <w:bCs/>
        </w:rPr>
      </w:pPr>
      <w:r>
        <w:rPr>
          <w:b/>
          <w:bCs/>
        </w:rPr>
      </w:r>
    </w:p>
    <w:p>
      <w:pPr>
        <w:pStyle w:val="Normal"/>
        <w:rPr>
          <w:b/>
          <w:bCs/>
        </w:rPr>
      </w:pPr>
      <w:r>
        <w:rPr>
          <w:b/>
          <w:bCs/>
        </w:rPr>
      </w:r>
    </w:p>
    <w:sectPr>
      <w:type w:val="nextPage"/>
      <w:pgSz w:w="12240" w:h="15840"/>
      <w:pgMar w:left="1800" w:right="180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12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bidi="ar-SA" w:eastAsia="zh-CN"/>
    </w:rPr>
  </w:style>
  <w:style w:type="paragraph" w:styleId="Heading1">
    <w:name w:val="heading 1"/>
    <w:basedOn w:val="Normal"/>
    <w:next w:val="Normal"/>
    <w:qFormat/>
    <w:pPr>
      <w:keepNext w:val="true"/>
      <w:numPr>
        <w:ilvl w:val="0"/>
        <w:numId w:val="1"/>
      </w:numPr>
      <w:outlineLvl w:val="0"/>
    </w:pPr>
    <w:rPr>
      <w:u w:val="single"/>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BodyText2">
    <w:name w:val="Body Text 2"/>
    <w:basedOn w:val="Normal"/>
    <w:qFormat/>
    <w:pPr>
      <w:jc w:val="center"/>
    </w:pPr>
    <w:rPr>
      <w:b/>
      <w:bCs/>
    </w:rPr>
  </w:style>
  <w:style w:type="paragraph" w:styleId="BodyTextIndent">
    <w:name w:val="Body Text Indent"/>
    <w:basedOn w:val="Normal"/>
    <w:pPr>
      <w:autoSpaceDE w:val="false"/>
      <w:ind w:hanging="0" w:start="360" w:end="0"/>
    </w:pPr>
    <w:rPr>
      <w:sz w:val="20"/>
      <w:szCs w:val="20"/>
    </w:rPr>
  </w:style>
  <w:style w:type="paragraph" w:styleId="BodyTextIndent2">
    <w:name w:val="Body Text Indent 2"/>
    <w:basedOn w:val="Normal"/>
    <w:qFormat/>
    <w:pPr>
      <w:autoSpaceDE w:val="false"/>
      <w:ind w:hanging="0" w:start="360" w:end="0"/>
    </w:pPr>
    <w:rPr>
      <w:szCs w:val="20"/>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124</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2000-05-02T16:08:00Z</dcterms:created>
  <dc:creator>Gay Friedmann</dc:creator>
  <dc:description/>
  <dc:language>en-CA</dc:language>
  <cp:lastModifiedBy>Gay Friedmann</cp:lastModifiedBy>
  <dcterms:modified xsi:type="dcterms:W3CDTF">2000-05-04T13:12:00Z</dcterms:modified>
  <cp:revision>6</cp:revision>
  <dc:subject/>
  <dc:title>POSTION OF THE INTERSTATE NATURAL GAS ASSOCIATION OF AMERICA</dc:title>
</cp:coreProperties>
</file>