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pBdr>
          <w:top w:val="double" w:sz="4" w:space="1" w:color="000000"/>
          <w:bottom w:val="double" w:sz="4" w:space="1" w:color="000000"/>
        </w:pBdr>
        <w:tabs>
          <w:tab w:val="clear" w:pos="720"/>
          <w:tab w:val="right" w:pos="8640" w:leader="none"/>
        </w:tabs>
        <w:jc w:val="start"/>
        <w:outlineLvl w:val="0"/>
        <w:rPr/>
      </w:pPr>
      <w:r>
        <w:rPr>
          <w:rFonts w:cs="Book Antiqua;Times New Roman" w:ascii="Book Antiqua;Times New Roman" w:hAnsi="Book Antiqua;Times New Roman"/>
          <w:i/>
        </w:rPr>
        <w:t>Memorandum</w:t>
      </w:r>
      <w:r>
        <w:rPr/>
        <w:tab/>
      </w:r>
      <w:r>
        <w:rPr>
          <w:b w:val="false"/>
          <w:sz w:val="24"/>
        </w:rPr>
        <w:fldChar w:fldCharType="begin"/>
      </w:r>
      <w:r>
        <w:rPr>
          <w:sz w:val="24"/>
          <w:b w:val="false"/>
        </w:rPr>
        <w:instrText xml:space="preserve"> DATE \@"MMMM\ d', 'yyyy" </w:instrText>
      </w:r>
      <w:r>
        <w:rPr>
          <w:sz w:val="24"/>
          <w:b w:val="false"/>
        </w:rPr>
        <w:fldChar w:fldCharType="separate"/>
      </w:r>
      <w:r>
        <w:rPr>
          <w:sz w:val="24"/>
          <w:b w:val="false"/>
        </w:rPr>
        <w:t>September 28, 2025</w:t>
      </w:r>
      <w:r>
        <w:rPr>
          <w:sz w:val="24"/>
          <w:b w:val="false"/>
        </w:rPr>
        <w:fldChar w:fldCharType="end"/>
      </w:r>
    </w:p>
    <w:p>
      <w:pPr>
        <w:pStyle w:val="Header"/>
        <w:tabs>
          <w:tab w:val="clear" w:pos="4320"/>
          <w:tab w:val="clear" w:pos="8640"/>
        </w:tabs>
        <w:rPr/>
      </w:pPr>
      <w:r>
        <w:rPr/>
      </w:r>
    </w:p>
    <w:p>
      <w:pPr>
        <w:pStyle w:val="Normal"/>
        <w:numPr>
          <w:ilvl w:val="0"/>
          <w:numId w:val="0"/>
        </w:numPr>
        <w:outlineLvl w:val="0"/>
        <w:rPr/>
      </w:pPr>
      <w:r>
        <w:rPr>
          <w:b/>
        </w:rPr>
        <w:t>To:</w:t>
        <w:tab/>
        <w:tab/>
      </w:r>
      <w:r>
        <w:rPr/>
        <w:t>Joan Dreskin, General Counsel</w:t>
      </w:r>
    </w:p>
    <w:p>
      <w:pPr>
        <w:pStyle w:val="Normal"/>
        <w:numPr>
          <w:ilvl w:val="0"/>
          <w:numId w:val="0"/>
        </w:numPr>
        <w:outlineLvl w:val="0"/>
        <w:rPr/>
      </w:pPr>
      <w:r>
        <w:rPr/>
        <w:tab/>
        <w:tab/>
        <w:t>Interstate Natural Gas Association of America</w:t>
      </w:r>
    </w:p>
    <w:p>
      <w:pPr>
        <w:pStyle w:val="Normal"/>
        <w:rPr>
          <w:b/>
        </w:rPr>
      </w:pPr>
      <w:r>
        <w:rPr>
          <w:b/>
        </w:rPr>
      </w:r>
    </w:p>
    <w:p>
      <w:pPr>
        <w:pStyle w:val="Normal"/>
        <w:numPr>
          <w:ilvl w:val="0"/>
          <w:numId w:val="0"/>
        </w:numPr>
        <w:outlineLvl w:val="0"/>
        <w:rPr/>
      </w:pPr>
      <w:r>
        <w:rPr>
          <w:b/>
        </w:rPr>
        <w:t>From:</w:t>
        <w:tab/>
        <w:tab/>
      </w:r>
      <w:r>
        <w:rPr/>
        <w:t>John Morris</w:t>
      </w:r>
    </w:p>
    <w:p>
      <w:pPr>
        <w:pStyle w:val="Normal"/>
        <w:rPr>
          <w:b/>
        </w:rPr>
      </w:pPr>
      <w:r>
        <w:rPr>
          <w:b/>
        </w:rPr>
      </w:r>
    </w:p>
    <w:p>
      <w:pPr>
        <w:pStyle w:val="Normal"/>
        <w:numPr>
          <w:ilvl w:val="0"/>
          <w:numId w:val="0"/>
        </w:numPr>
        <w:pBdr>
          <w:bottom w:val="double" w:sz="4" w:space="1" w:color="000000"/>
        </w:pBdr>
        <w:outlineLvl w:val="0"/>
        <w:rPr/>
      </w:pPr>
      <w:r>
        <w:rPr>
          <w:b/>
        </w:rPr>
        <w:t>Subject:</w:t>
        <w:tab/>
      </w:r>
      <w:r>
        <w:rPr/>
        <w:t>FERC Conference on Affiliate Relations Rules</w:t>
      </w:r>
    </w:p>
    <w:p>
      <w:pPr>
        <w:pStyle w:val="Normal"/>
        <w:rPr>
          <w:b/>
        </w:rPr>
      </w:pPr>
      <w:r>
        <w:rPr>
          <w:b/>
        </w:rPr>
      </w:r>
    </w:p>
    <w:p>
      <w:pPr>
        <w:pStyle w:val="Header"/>
        <w:tabs>
          <w:tab w:val="clear" w:pos="4320"/>
          <w:tab w:val="clear" w:pos="8640"/>
        </w:tabs>
        <w:rPr>
          <w:b/>
        </w:rPr>
      </w:pPr>
      <w:r>
        <w:rPr>
          <w:b/>
        </w:rPr>
      </w:r>
    </w:p>
    <w:p>
      <w:pPr>
        <w:pStyle w:val="BodyText"/>
        <w:rPr/>
      </w:pPr>
      <w:r>
        <w:rPr/>
        <w:t>Per your request, this memorandum briefly discusses a possible report for FERC’s January 31, 2001 conference on affiliate relation rules.  A draft outline for the report and a proposed request for information from INGAA member pipeline companies are attached.</w:t>
      </w:r>
    </w:p>
    <w:p>
      <w:pPr>
        <w:pStyle w:val="BodyText"/>
        <w:rPr/>
      </w:pPr>
      <w:r>
        <w:rPr/>
        <w:t>Affiliate relation rules generally do not lend themselves to quantification of costs or benefits.  One might calculate a particular business cost or benefit from a rule, but the larger costs or benefits are mostly to be felt in the actual market place and impossible to measure.  There have been few, if any, studies of the types of rules discussed in the notice for conference; therefore, it would be difficult to quantify specific costs or benefits.  Instead, we may argue that the Commission has previously stated its reasons for the current rules and that no structural change warrants revisions to current regulation.  Assuming data are consistent with few changes, or affiliate shares of capacity are still well below levels of concern, there is no factual basis for changing policy.</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BodyText"/>
        <w:rPr/>
      </w:pPr>
      <w:r>
        <w:rPr/>
        <w:t>A report based upon the outline below could be produced for $30,000 to $40,000.  This assumes that we can obtain data for Section IV.C.—affiliate positions in geographic markets—from member pipeline companies.  Pipeline company information is necessary to show that affiliates do not have capacity rights sufficient for them to have market power.</w:t>
      </w:r>
    </w:p>
    <w:p>
      <w:pPr>
        <w:pStyle w:val="BodyText"/>
        <w:rPr/>
      </w:pPr>
      <w:r>
        <w:rPr/>
      </w:r>
    </w:p>
    <w:p>
      <w:pPr>
        <w:pStyle w:val="Heading1"/>
        <w:ind w:hanging="0" w:start="0"/>
        <w:rPr/>
      </w:pPr>
      <w:r>
        <w:rPr/>
        <w:t>Purpose of Affiliate Relation Rules</w:t>
      </w:r>
    </w:p>
    <w:p>
      <w:pPr>
        <w:pStyle w:val="Heading2"/>
        <w:ind w:hanging="0" w:start="0"/>
        <w:rPr/>
      </w:pPr>
      <w:r>
        <w:rPr/>
        <w:t>Prevent Exercise of Market Power Though Vertical Foreclosure</w:t>
      </w:r>
    </w:p>
    <w:p>
      <w:pPr>
        <w:pStyle w:val="Heading2"/>
        <w:ind w:hanging="0" w:start="0"/>
        <w:rPr/>
      </w:pPr>
      <w:r>
        <w:rPr/>
        <w:t>Prevent Cross-subsidies</w:t>
      </w:r>
    </w:p>
    <w:p>
      <w:pPr>
        <w:pStyle w:val="Heading1"/>
        <w:ind w:hanging="0" w:start="0"/>
        <w:rPr/>
      </w:pPr>
      <w:r>
        <w:rPr/>
        <w:t>FERC’s Affiliate Relation Rules</w:t>
      </w:r>
    </w:p>
    <w:p>
      <w:pPr>
        <w:pStyle w:val="Heading2"/>
        <w:ind w:hanging="0" w:start="0"/>
        <w:rPr/>
      </w:pPr>
      <w:r>
        <w:rPr/>
        <w:t>Rules</w:t>
      </w:r>
    </w:p>
    <w:p>
      <w:pPr>
        <w:pStyle w:val="Heading3"/>
        <w:rPr/>
      </w:pPr>
      <w:r>
        <w:rPr/>
        <w:t>Order 497</w:t>
      </w:r>
    </w:p>
    <w:p>
      <w:pPr>
        <w:pStyle w:val="Heading3"/>
        <w:rPr/>
      </w:pPr>
      <w:r>
        <w:rPr/>
        <w:t>Other Pertinent Rules [E.g., no undue discrimination in release of information]</w:t>
      </w:r>
    </w:p>
    <w:p>
      <w:pPr>
        <w:pStyle w:val="Heading2"/>
        <w:ind w:hanging="0" w:start="0"/>
        <w:rPr/>
      </w:pPr>
      <w:r>
        <w:rPr/>
        <w:t xml:space="preserve">Commission’s Balancing of Interests </w:t>
      </w:r>
    </w:p>
    <w:p>
      <w:pPr>
        <w:pStyle w:val="Normal"/>
        <w:ind w:start="1440" w:end="0"/>
        <w:rPr/>
      </w:pPr>
      <w:r>
        <w:rPr/>
        <w:t>[Review of prior decisions and relevant comments]</w:t>
      </w:r>
    </w:p>
    <w:p>
      <w:pPr>
        <w:pStyle w:val="Heading1"/>
        <w:ind w:hanging="0" w:start="0"/>
        <w:rPr/>
      </w:pPr>
      <w:r>
        <w:rPr/>
        <w:t>Historical Context and Trends</w:t>
      </w:r>
    </w:p>
    <w:p>
      <w:pPr>
        <w:pStyle w:val="Heading2"/>
        <w:ind w:hanging="0" w:start="0"/>
        <w:rPr/>
      </w:pPr>
      <w:r>
        <w:rPr/>
        <w:t>Gas Markets Are Very Competitive Today</w:t>
      </w:r>
    </w:p>
    <w:p>
      <w:pPr>
        <w:pStyle w:val="Normal"/>
        <w:ind w:start="1440" w:end="0"/>
        <w:rPr/>
      </w:pPr>
      <w:r>
        <w:rPr/>
        <w:t>[Prices close and move together]</w:t>
      </w:r>
    </w:p>
    <w:p>
      <w:pPr>
        <w:pStyle w:val="Heading2"/>
        <w:ind w:hanging="0" w:start="0"/>
        <w:rPr/>
      </w:pPr>
      <w:r>
        <w:rPr/>
        <w:t>Context at Time of Order 497 and before</w:t>
      </w:r>
    </w:p>
    <w:p>
      <w:pPr>
        <w:pStyle w:val="Normal"/>
        <w:ind w:start="1440" w:end="0"/>
        <w:rPr/>
      </w:pPr>
      <w:r>
        <w:rPr/>
        <w:t>[Merchant function of pipelines]</w:t>
      </w:r>
    </w:p>
    <w:p>
      <w:pPr>
        <w:pStyle w:val="Heading2"/>
        <w:ind w:hanging="0" w:start="0"/>
        <w:rPr/>
      </w:pPr>
      <w:r>
        <w:rPr/>
        <w:t>Order 636</w:t>
      </w:r>
    </w:p>
    <w:p>
      <w:pPr>
        <w:pStyle w:val="Normal"/>
        <w:ind w:start="1440" w:end="0"/>
        <w:rPr/>
      </w:pPr>
      <w:r>
        <w:rPr/>
        <w:t>[Pipelines exit merchant function]</w:t>
      </w:r>
    </w:p>
    <w:p>
      <w:pPr>
        <w:pStyle w:val="Heading2"/>
        <w:ind w:hanging="0" w:start="0"/>
        <w:rPr/>
      </w:pPr>
      <w:r>
        <w:rPr/>
        <w:t>Change in Affiliate Share of MDQ 1996-2000</w:t>
      </w:r>
    </w:p>
    <w:p>
      <w:pPr>
        <w:pStyle w:val="Heading2"/>
        <w:keepNext w:val="false"/>
        <w:ind w:hanging="0" w:start="0"/>
        <w:rPr/>
      </w:pPr>
      <w:r>
        <w:rPr/>
        <w:t>Change in Position of Affiliated Marketers [1995-2000?]</w:t>
      </w:r>
    </w:p>
    <w:p>
      <w:pPr>
        <w:pStyle w:val="Heading1"/>
        <w:ind w:hanging="0" w:start="0"/>
        <w:rPr/>
      </w:pPr>
      <w:r>
        <w:rPr/>
        <w:t>Affiliate Abuse Unlikely Under Current Regulations</w:t>
      </w:r>
    </w:p>
    <w:p>
      <w:pPr>
        <w:pStyle w:val="Heading2"/>
        <w:ind w:hanging="0" w:start="0"/>
        <w:rPr/>
      </w:pPr>
      <w:r>
        <w:rPr/>
        <w:t>Efficacy of Current Regulations</w:t>
      </w:r>
    </w:p>
    <w:p>
      <w:pPr>
        <w:pStyle w:val="Heading3"/>
        <w:rPr/>
      </w:pPr>
      <w:r>
        <w:rPr/>
        <w:t>Competition has grown under current regulations</w:t>
      </w:r>
    </w:p>
    <w:p>
      <w:pPr>
        <w:pStyle w:val="Heading3"/>
        <w:rPr/>
      </w:pPr>
      <w:r>
        <w:rPr/>
        <w:t>Current regulations fulfill specific needs</w:t>
      </w:r>
    </w:p>
    <w:p>
      <w:pPr>
        <w:pStyle w:val="Heading2"/>
        <w:ind w:hanging="0" w:start="0"/>
        <w:rPr/>
      </w:pPr>
      <w:r>
        <w:rPr/>
        <w:t>Risk and Nature of Affiliate</w:t>
      </w:r>
    </w:p>
    <w:p>
      <w:pPr>
        <w:pStyle w:val="Heading2"/>
        <w:ind w:hanging="0" w:start="0"/>
        <w:rPr/>
      </w:pPr>
      <w:r>
        <w:rPr/>
        <w:t>Affiliate Positions in Several Geographic Markets [Affiliate shares and Herfindahl-Hirschman Index (HHI) analysis]</w:t>
      </w:r>
    </w:p>
    <w:p>
      <w:pPr>
        <w:pStyle w:val="Heading3"/>
        <w:rPr/>
      </w:pPr>
      <w:r>
        <w:rPr/>
        <w:t>Origin Markets [Possible List]</w:t>
      </w:r>
    </w:p>
    <w:p>
      <w:pPr>
        <w:pStyle w:val="Heading4"/>
        <w:rPr/>
      </w:pPr>
      <w:r>
        <w:rPr/>
        <w:t>Anadarko Basin</w:t>
      </w:r>
    </w:p>
    <w:p>
      <w:pPr>
        <w:pStyle w:val="Heading4"/>
        <w:rPr/>
      </w:pPr>
      <w:r>
        <w:rPr/>
        <w:t>San Juan Basin</w:t>
      </w:r>
    </w:p>
    <w:p>
      <w:pPr>
        <w:pStyle w:val="Heading4"/>
        <w:rPr/>
      </w:pPr>
      <w:r>
        <w:rPr/>
        <w:t>Southern Louisiana</w:t>
      </w:r>
    </w:p>
    <w:p>
      <w:pPr>
        <w:pStyle w:val="Heading3"/>
        <w:rPr/>
      </w:pPr>
      <w:r>
        <w:rPr/>
        <w:t>Destination Markets [Possible List]</w:t>
      </w:r>
    </w:p>
    <w:p>
      <w:pPr>
        <w:pStyle w:val="Heading4"/>
        <w:rPr/>
      </w:pPr>
      <w:r>
        <w:rPr/>
        <w:t>Florida</w:t>
      </w:r>
    </w:p>
    <w:p>
      <w:pPr>
        <w:pStyle w:val="Heading4"/>
        <w:rPr/>
      </w:pPr>
      <w:r>
        <w:rPr/>
        <w:t>New England</w:t>
      </w:r>
    </w:p>
    <w:p>
      <w:pPr>
        <w:pStyle w:val="Heading4"/>
        <w:rPr/>
      </w:pPr>
      <w:r>
        <w:rPr/>
        <w:t>New York Region</w:t>
      </w:r>
    </w:p>
    <w:p>
      <w:pPr>
        <w:pStyle w:val="Heading4"/>
        <w:rPr/>
      </w:pPr>
      <w:r>
        <w:rPr/>
        <w:t>Northern Illinois</w:t>
      </w:r>
    </w:p>
    <w:p>
      <w:pPr>
        <w:pStyle w:val="Heading4"/>
        <w:rPr/>
      </w:pPr>
      <w:r>
        <w:rPr/>
        <w:t>California</w:t>
      </w:r>
    </w:p>
    <w:p>
      <w:pPr>
        <w:pStyle w:val="Heading1"/>
        <w:ind w:hanging="0" w:start="0"/>
        <w:rPr/>
      </w:pPr>
      <w:r>
        <w:rPr/>
        <w:t>Conclusion: No Reason to Change Affiliate Relation Rules</w:t>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rPr/>
      </w:pPr>
      <w:r>
        <w:rPr/>
      </w:r>
    </w:p>
    <w:p>
      <w:pPr>
        <w:pStyle w:val="Normal"/>
        <w:rPr>
          <w:b/>
        </w:rPr>
      </w:pPr>
      <w:r>
        <w:rPr>
          <w:b/>
        </w:rPr>
      </w:r>
    </w:p>
    <w:p>
      <w:pPr>
        <w:pStyle w:val="Normal"/>
        <w:rPr>
          <w:b/>
        </w:rPr>
      </w:pPr>
      <w:r>
        <w:rPr>
          <w:b/>
        </w:rPr>
        <w:t>Data Request for Member Pipelines</w:t>
      </w:r>
    </w:p>
    <w:p>
      <w:pPr>
        <w:pStyle w:val="Normal"/>
        <w:rPr>
          <w:b/>
        </w:rPr>
      </w:pPr>
      <w:r>
        <w:rPr>
          <w:b/>
        </w:rPr>
      </w:r>
    </w:p>
    <w:p>
      <w:pPr>
        <w:pStyle w:val="Normal"/>
        <w:rPr/>
      </w:pPr>
      <w:r>
        <w:rPr/>
        <w:t>To complete all market area, we would data from the following pipelines for each market:</w:t>
      </w:r>
    </w:p>
    <w:p>
      <w:pPr>
        <w:pStyle w:val="Normal"/>
        <w:rPr/>
      </w:pPr>
      <w:r>
        <w:rPr/>
      </w:r>
    </w:p>
    <w:tbl>
      <w:tblPr>
        <w:tblW w:w="8658" w:type="dxa"/>
        <w:jc w:val="start"/>
        <w:tblInd w:w="0" w:type="dxa"/>
        <w:tblLayout w:type="fixed"/>
        <w:tblCellMar>
          <w:top w:w="0" w:type="dxa"/>
          <w:start w:w="108" w:type="dxa"/>
          <w:bottom w:w="0" w:type="dxa"/>
          <w:end w:w="108" w:type="dxa"/>
        </w:tblCellMar>
      </w:tblPr>
      <w:tblGrid>
        <w:gridCol w:w="2590"/>
        <w:gridCol w:w="6068"/>
      </w:tblGrid>
      <w:tr>
        <w:trPr/>
        <w:tc>
          <w:tcPr>
            <w:tcW w:w="2590" w:type="dxa"/>
            <w:tcBorders>
              <w:bottom w:val="single" w:sz="12" w:space="0" w:color="000000"/>
              <w:end w:val="single" w:sz="12" w:space="0" w:color="000000"/>
            </w:tcBorders>
          </w:tcPr>
          <w:p>
            <w:pPr>
              <w:pStyle w:val="Normal"/>
              <w:rPr>
                <w:b/>
              </w:rPr>
            </w:pPr>
            <w:r>
              <w:rPr>
                <w:b/>
              </w:rPr>
              <w:t>Market</w:t>
            </w:r>
          </w:p>
        </w:tc>
        <w:tc>
          <w:tcPr>
            <w:tcW w:w="6068" w:type="dxa"/>
            <w:tcBorders>
              <w:bottom w:val="single" w:sz="12" w:space="0" w:color="000000"/>
            </w:tcBorders>
          </w:tcPr>
          <w:p>
            <w:pPr>
              <w:pStyle w:val="Normal"/>
              <w:rPr>
                <w:b/>
              </w:rPr>
            </w:pPr>
            <w:r>
              <w:rPr>
                <w:b/>
              </w:rPr>
              <w:t>Pipelines</w:t>
            </w:r>
          </w:p>
        </w:tc>
      </w:tr>
      <w:tr>
        <w:trPr/>
        <w:tc>
          <w:tcPr>
            <w:tcW w:w="2590" w:type="dxa"/>
            <w:tcBorders>
              <w:end w:val="single" w:sz="12" w:space="0" w:color="000000"/>
            </w:tcBorders>
          </w:tcPr>
          <w:p>
            <w:pPr>
              <w:pStyle w:val="Normal"/>
              <w:spacing w:before="60" w:after="0"/>
              <w:rPr>
                <w:b/>
              </w:rPr>
            </w:pPr>
            <w:r>
              <w:rPr>
                <w:b/>
              </w:rPr>
              <w:t>Anadarko</w:t>
            </w:r>
          </w:p>
        </w:tc>
        <w:tc>
          <w:tcPr>
            <w:tcW w:w="6068" w:type="dxa"/>
            <w:tcBorders/>
          </w:tcPr>
          <w:p>
            <w:pPr>
              <w:pStyle w:val="Normal"/>
              <w:spacing w:before="60" w:after="0"/>
              <w:rPr>
                <w:sz w:val="20"/>
              </w:rPr>
            </w:pPr>
            <w:r>
              <w:rPr>
                <w:sz w:val="20"/>
              </w:rPr>
              <w:t>ANR Pipeline, Panhandle Eastern, Natural Gas Pipeline Company of America, Northern Natural, Reliant Energy Gas Transmission, Williams Gas Pipelines Central</w:t>
            </w:r>
          </w:p>
        </w:tc>
      </w:tr>
      <w:tr>
        <w:trPr/>
        <w:tc>
          <w:tcPr>
            <w:tcW w:w="2590" w:type="dxa"/>
            <w:tcBorders>
              <w:end w:val="single" w:sz="12" w:space="0" w:color="000000"/>
            </w:tcBorders>
          </w:tcPr>
          <w:p>
            <w:pPr>
              <w:pStyle w:val="Normal"/>
              <w:spacing w:before="60" w:after="0"/>
              <w:rPr>
                <w:b/>
              </w:rPr>
            </w:pPr>
            <w:r>
              <w:rPr>
                <w:b/>
              </w:rPr>
              <w:t>San Juan</w:t>
            </w:r>
          </w:p>
        </w:tc>
        <w:tc>
          <w:tcPr>
            <w:tcW w:w="6068" w:type="dxa"/>
            <w:tcBorders/>
          </w:tcPr>
          <w:p>
            <w:pPr>
              <w:pStyle w:val="Normal"/>
              <w:spacing w:before="60" w:after="0"/>
              <w:rPr>
                <w:sz w:val="20"/>
              </w:rPr>
            </w:pPr>
            <w:r>
              <w:rPr>
                <w:sz w:val="20"/>
              </w:rPr>
              <w:t>El Paso Natural Gas, Northwest Pipeline, Transwestern Pipeline</w:t>
            </w:r>
          </w:p>
        </w:tc>
      </w:tr>
      <w:tr>
        <w:trPr/>
        <w:tc>
          <w:tcPr>
            <w:tcW w:w="2590" w:type="dxa"/>
            <w:tcBorders>
              <w:end w:val="single" w:sz="12" w:space="0" w:color="000000"/>
            </w:tcBorders>
          </w:tcPr>
          <w:p>
            <w:pPr>
              <w:pStyle w:val="Normal"/>
              <w:spacing w:before="60" w:after="0"/>
              <w:rPr>
                <w:b/>
              </w:rPr>
            </w:pPr>
            <w:r>
              <w:rPr>
                <w:b/>
              </w:rPr>
              <w:t>Gulf Coast</w:t>
            </w:r>
          </w:p>
        </w:tc>
        <w:tc>
          <w:tcPr>
            <w:tcW w:w="6068" w:type="dxa"/>
            <w:tcBorders/>
          </w:tcPr>
          <w:p>
            <w:pPr>
              <w:pStyle w:val="Normal"/>
              <w:spacing w:before="60" w:after="0"/>
              <w:rPr>
                <w:sz w:val="20"/>
              </w:rPr>
            </w:pPr>
            <w:r>
              <w:rPr>
                <w:sz w:val="20"/>
              </w:rPr>
              <w:t>ANR Pipeline, Columbia Gulf Transmission, Florida Gas Transmission, Koch Gateway[?], Southern Natural Gas, Tennessee Gas Pipeline, Texas Eastern Transmission, Texas Gas Transmission, Transcontinental Gas Pipe Line, Trunkline Gas</w:t>
            </w:r>
          </w:p>
        </w:tc>
      </w:tr>
      <w:tr>
        <w:trPr/>
        <w:tc>
          <w:tcPr>
            <w:tcW w:w="2590" w:type="dxa"/>
            <w:tcBorders>
              <w:end w:val="single" w:sz="12" w:space="0" w:color="000000"/>
            </w:tcBorders>
          </w:tcPr>
          <w:p>
            <w:pPr>
              <w:pStyle w:val="Normal"/>
              <w:spacing w:before="60" w:after="0"/>
              <w:rPr>
                <w:b/>
              </w:rPr>
            </w:pPr>
            <w:r>
              <w:rPr>
                <w:b/>
              </w:rPr>
              <w:t>Florida</w:t>
            </w:r>
          </w:p>
        </w:tc>
        <w:tc>
          <w:tcPr>
            <w:tcW w:w="6068" w:type="dxa"/>
            <w:tcBorders/>
          </w:tcPr>
          <w:p>
            <w:pPr>
              <w:pStyle w:val="Normal"/>
              <w:spacing w:before="60" w:after="0"/>
              <w:rPr>
                <w:sz w:val="20"/>
              </w:rPr>
            </w:pPr>
            <w:r>
              <w:rPr>
                <w:sz w:val="20"/>
              </w:rPr>
              <w:t>Florida Gas Transmission; Southern Natural Gas</w:t>
            </w:r>
          </w:p>
        </w:tc>
      </w:tr>
      <w:tr>
        <w:trPr/>
        <w:tc>
          <w:tcPr>
            <w:tcW w:w="2590" w:type="dxa"/>
            <w:tcBorders>
              <w:end w:val="single" w:sz="12" w:space="0" w:color="000000"/>
            </w:tcBorders>
          </w:tcPr>
          <w:p>
            <w:pPr>
              <w:pStyle w:val="Normal"/>
              <w:spacing w:before="60" w:after="0"/>
              <w:rPr>
                <w:b/>
              </w:rPr>
            </w:pPr>
            <w:r>
              <w:rPr>
                <w:b/>
              </w:rPr>
              <w:t>New England</w:t>
            </w:r>
          </w:p>
        </w:tc>
        <w:tc>
          <w:tcPr>
            <w:tcW w:w="6068" w:type="dxa"/>
            <w:tcBorders/>
          </w:tcPr>
          <w:p>
            <w:pPr>
              <w:pStyle w:val="Normal"/>
              <w:spacing w:before="60" w:after="0"/>
              <w:rPr>
                <w:sz w:val="20"/>
              </w:rPr>
            </w:pPr>
            <w:r>
              <w:rPr>
                <w:sz w:val="20"/>
              </w:rPr>
              <w:t xml:space="preserve">Algonquin Gas Transmission, Granite State Gas Transmission, Iroquois Gas Transmission, Maritimes &amp; Northeast, Portland Natural Gas Transmission, Tennessee Gas Pipeline </w:t>
            </w:r>
          </w:p>
        </w:tc>
      </w:tr>
      <w:tr>
        <w:trPr/>
        <w:tc>
          <w:tcPr>
            <w:tcW w:w="2590" w:type="dxa"/>
            <w:tcBorders>
              <w:end w:val="single" w:sz="12" w:space="0" w:color="000000"/>
            </w:tcBorders>
          </w:tcPr>
          <w:p>
            <w:pPr>
              <w:pStyle w:val="Normal"/>
              <w:spacing w:before="60" w:after="0"/>
              <w:rPr>
                <w:b/>
              </w:rPr>
            </w:pPr>
            <w:r>
              <w:rPr>
                <w:b/>
              </w:rPr>
              <w:t>New York Region</w:t>
            </w:r>
          </w:p>
        </w:tc>
        <w:tc>
          <w:tcPr>
            <w:tcW w:w="6068" w:type="dxa"/>
            <w:tcBorders/>
          </w:tcPr>
          <w:p>
            <w:pPr>
              <w:pStyle w:val="Normal"/>
              <w:spacing w:before="60" w:after="0"/>
              <w:rPr>
                <w:sz w:val="20"/>
              </w:rPr>
            </w:pPr>
            <w:r>
              <w:rPr>
                <w:sz w:val="20"/>
              </w:rPr>
              <w:t>Algonquin Gas Transmission [?], Columbia Gas Transmission, Iroquois Gas Transmission, Tennessee Gas Pipeline, Texas Eastern Transmission, Transcontinental Gas Pipe Line</w:t>
            </w:r>
          </w:p>
        </w:tc>
      </w:tr>
      <w:tr>
        <w:trPr/>
        <w:tc>
          <w:tcPr>
            <w:tcW w:w="2590" w:type="dxa"/>
            <w:tcBorders>
              <w:end w:val="single" w:sz="12" w:space="0" w:color="000000"/>
            </w:tcBorders>
          </w:tcPr>
          <w:p>
            <w:pPr>
              <w:pStyle w:val="Normal"/>
              <w:spacing w:before="60" w:after="0"/>
              <w:rPr>
                <w:b/>
              </w:rPr>
            </w:pPr>
            <w:r>
              <w:rPr>
                <w:b/>
              </w:rPr>
              <w:t>Northern Illinois</w:t>
            </w:r>
          </w:p>
        </w:tc>
        <w:tc>
          <w:tcPr>
            <w:tcW w:w="6068" w:type="dxa"/>
            <w:tcBorders/>
          </w:tcPr>
          <w:p>
            <w:pPr>
              <w:pStyle w:val="Normal"/>
              <w:spacing w:before="60" w:after="0"/>
              <w:rPr>
                <w:sz w:val="20"/>
              </w:rPr>
            </w:pPr>
            <w:r>
              <w:rPr>
                <w:sz w:val="20"/>
              </w:rPr>
              <w:t>Alliance Pipeline, ANR Pipeline, Midwestern Gas Transmission, Natural Gas Pipeline Company of America, Northern Border, Northern Natural, Trunkline Gas, Vector</w:t>
            </w:r>
          </w:p>
        </w:tc>
      </w:tr>
      <w:tr>
        <w:trPr/>
        <w:tc>
          <w:tcPr>
            <w:tcW w:w="2590" w:type="dxa"/>
            <w:tcBorders>
              <w:end w:val="single" w:sz="12" w:space="0" w:color="000000"/>
            </w:tcBorders>
          </w:tcPr>
          <w:p>
            <w:pPr>
              <w:pStyle w:val="Normal"/>
              <w:spacing w:before="60" w:after="0"/>
              <w:rPr>
                <w:b/>
              </w:rPr>
            </w:pPr>
            <w:r>
              <w:rPr>
                <w:b/>
              </w:rPr>
              <w:t>California</w:t>
            </w:r>
          </w:p>
        </w:tc>
        <w:tc>
          <w:tcPr>
            <w:tcW w:w="6068" w:type="dxa"/>
            <w:tcBorders/>
          </w:tcPr>
          <w:p>
            <w:pPr>
              <w:pStyle w:val="Normal"/>
              <w:spacing w:before="60" w:after="0"/>
              <w:rPr>
                <w:sz w:val="20"/>
              </w:rPr>
            </w:pPr>
            <w:r>
              <w:rPr>
                <w:sz w:val="20"/>
              </w:rPr>
              <w:t>El Paso Natural Gas, Kern River Gas Transmission, PG&amp;E Gas Transmission–Northwest, Transwestern Pipeline</w:t>
            </w:r>
          </w:p>
        </w:tc>
      </w:tr>
    </w:tbl>
    <w:p>
      <w:pPr>
        <w:pStyle w:val="Normal"/>
        <w:rPr/>
      </w:pPr>
      <w:r>
        <w:rPr/>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itlePg/>
          <w:textDirection w:val="lrTb"/>
          <w:docGrid w:type="default" w:linePitch="360" w:charSpace="0"/>
        </w:sectPr>
        <w:pStyle w:val="Normal"/>
        <w:ind w:firstLine="720" w:end="0"/>
        <w:rPr/>
      </w:pPr>
      <w:r>
        <w:rPr/>
      </w:r>
    </w:p>
    <w:p>
      <w:pPr>
        <w:pStyle w:val="Normal"/>
        <w:rPr>
          <w:b/>
        </w:rPr>
      </w:pPr>
      <w:r>
        <w:rPr>
          <w:b/>
        </w:rPr>
        <w:t>Data Request for Member Pipelines</w:t>
      </w:r>
    </w:p>
    <w:p>
      <w:pPr>
        <w:pStyle w:val="Normal"/>
        <w:rPr>
          <w:b/>
        </w:rPr>
      </w:pPr>
      <w:r>
        <w:rPr>
          <w:b/>
        </w:rPr>
      </w:r>
    </w:p>
    <w:p>
      <w:pPr>
        <w:pStyle w:val="Normal"/>
        <w:rPr/>
      </w:pPr>
      <w:r>
        <w:rPr/>
        <w:t>In order to determine the amount of capacity under contract to or controlled by affiliate companies, would you please provide the following information to [designated collection person] by December 21, 2000.  The data should be provided for the month of December 2000.  [Note: If it were easier to collect data for October 2000, that would likely be acceptable.] Capacity units should be in MMcf/d.</w:t>
      </w:r>
    </w:p>
    <w:p>
      <w:pPr>
        <w:pStyle w:val="Normal"/>
        <w:rPr/>
      </w:pPr>
      <w:r>
        <w:rPr/>
      </w:r>
    </w:p>
    <w:p>
      <w:pPr>
        <w:pStyle w:val="Normal"/>
        <w:rPr/>
      </w:pPr>
      <w:r>
        <w:rPr/>
        <w:t>[Each pipeline would be given specific set of locations for which we would need information.  Pipeline companies may use available data for close locations to supply information.  For example, a pipeline company may have data available at a meter location, compressor station, or tariff zone boundary.]</w:t>
      </w:r>
    </w:p>
    <w:p>
      <w:pPr>
        <w:pStyle w:val="Normal"/>
        <w:rPr>
          <w:b/>
        </w:rPr>
      </w:pPr>
      <w:r>
        <w:rPr>
          <w:b/>
        </w:rPr>
        <w:t>Specified Locations on Pipeline System:</w:t>
      </w:r>
    </w:p>
    <w:p>
      <w:pPr>
        <w:pStyle w:val="Normal"/>
        <w:rPr/>
      </w:pPr>
      <w:r>
        <w:rPr/>
        <w:t>[E.g.:</w:t>
      </w:r>
    </w:p>
    <w:p>
      <w:pPr>
        <w:pStyle w:val="Normal"/>
        <w:ind w:firstLine="720" w:end="0"/>
        <w:rPr/>
      </w:pPr>
      <w:r>
        <w:rPr/>
        <w:t>(1) New York/Connecticut Border</w:t>
      </w:r>
    </w:p>
    <w:p>
      <w:pPr>
        <w:pStyle w:val="Normal"/>
        <w:ind w:firstLine="720" w:end="0"/>
        <w:rPr/>
      </w:pPr>
      <w:r>
        <w:rPr/>
        <w:t>(2) New York/Massachusetts Border]</w:t>
      </w:r>
    </w:p>
    <w:p>
      <w:pPr>
        <w:pStyle w:val="Normal"/>
        <w:rPr/>
      </w:pPr>
      <w:r>
        <w:rPr/>
      </w:r>
    </w:p>
    <w:p>
      <w:pPr>
        <w:pStyle w:val="Normal"/>
        <w:ind w:hanging="360" w:start="360" w:end="0"/>
        <w:rPr/>
      </w:pPr>
      <w:r>
        <w:rPr/>
        <w:t>1.</w:t>
        <w:tab/>
        <w:t>For each location on your pipeline system above, please specify:</w:t>
      </w:r>
    </w:p>
    <w:p>
      <w:pPr>
        <w:pStyle w:val="Normal"/>
        <w:rPr/>
      </w:pPr>
      <w:r>
        <w:rPr/>
        <w:tab/>
        <w:t>(a)</w:t>
        <w:tab/>
        <w:t>the capacity of the system; and</w:t>
      </w:r>
    </w:p>
    <w:p>
      <w:pPr>
        <w:pStyle w:val="Normal"/>
        <w:rPr/>
      </w:pPr>
      <w:r>
        <w:rPr/>
        <w:tab/>
        <w:t>(b)</w:t>
        <w:tab/>
        <w:t>the unsubscribed capacity of the system at that location.</w:t>
      </w:r>
    </w:p>
    <w:p>
      <w:pPr>
        <w:pStyle w:val="Normal"/>
        <w:rPr/>
      </w:pPr>
      <w:r>
        <w:rPr/>
      </w:r>
    </w:p>
    <w:p>
      <w:pPr>
        <w:pStyle w:val="Normal"/>
        <w:ind w:hanging="360" w:start="360" w:end="0"/>
        <w:rPr/>
      </w:pPr>
      <w:r>
        <w:rPr/>
        <w:t>2.</w:t>
        <w:tab/>
        <w:t>For each firm shipper (including each firm shipper that has acquired capacity through capacity release with a contract term of greater than 1 year) that has capacity rights at each location given above, please state:</w:t>
      </w:r>
    </w:p>
    <w:p>
      <w:pPr>
        <w:pStyle w:val="Normal"/>
        <w:rPr/>
      </w:pPr>
      <w:r>
        <w:rPr/>
        <w:tab/>
        <w:t>(a)</w:t>
        <w:tab/>
        <w:t>the location;</w:t>
      </w:r>
    </w:p>
    <w:p>
      <w:pPr>
        <w:pStyle w:val="Normal"/>
        <w:rPr/>
      </w:pPr>
      <w:r>
        <w:rPr/>
        <w:tab/>
        <w:t>(b)</w:t>
        <w:tab/>
        <w:t>the firm shipper;</w:t>
      </w:r>
    </w:p>
    <w:p>
      <w:pPr>
        <w:pStyle w:val="Normal"/>
        <w:rPr/>
      </w:pPr>
      <w:r>
        <w:rPr/>
        <w:tab/>
        <w:t>(c)</w:t>
        <w:tab/>
        <w:t>whether the shipper is affiliated or non-affiliated;</w:t>
      </w:r>
    </w:p>
    <w:p>
      <w:pPr>
        <w:pStyle w:val="Normal"/>
        <w:ind w:hanging="720" w:start="1440" w:end="0"/>
        <w:rPr/>
      </w:pPr>
      <w:r>
        <w:rPr/>
        <w:t>(d)</w:t>
        <w:tab/>
        <w:t>shipper type (LDC, Producer, Marketer, Electric Power Generator, Other end-user, Pipeline Company, or Other);</w:t>
      </w:r>
    </w:p>
    <w:p>
      <w:pPr>
        <w:pStyle w:val="Normal"/>
        <w:rPr/>
      </w:pPr>
      <w:r>
        <w:rPr/>
        <w:tab/>
        <w:t>(e)</w:t>
        <w:tab/>
        <w:t>the capacity under contract to the shipper; and</w:t>
      </w:r>
    </w:p>
    <w:p>
      <w:pPr>
        <w:pStyle w:val="Normal"/>
        <w:rPr/>
      </w:pPr>
      <w:r>
        <w:rPr/>
        <w:tab/>
        <w:t>(f)</w:t>
        <w:tab/>
        <w:t>the expiration date of the contract.</w:t>
        <w:tab/>
      </w:r>
    </w:p>
    <w:p>
      <w:pPr>
        <w:pStyle w:val="Normal"/>
        <w:rPr/>
      </w:pPr>
      <w:r>
        <w:rPr/>
      </w:r>
    </w:p>
    <w:p>
      <w:pPr>
        <w:pStyle w:val="Normal"/>
        <w:ind w:hanging="360" w:start="360" w:end="0"/>
        <w:rPr/>
      </w:pPr>
      <w:r>
        <w:rPr/>
        <w:t>3.</w:t>
        <w:tab/>
        <w:t>Please supply information on asset management or agency agreements where a firm shipper has given rights to another company to nominate gas receipts or deliveries or to release capacity.  For each such agreement in effect for the capacity at a relevant location, please provide:</w:t>
      </w:r>
    </w:p>
    <w:p>
      <w:pPr>
        <w:pStyle w:val="Normal"/>
        <w:ind w:firstLine="720" w:end="0"/>
        <w:rPr/>
      </w:pPr>
      <w:r>
        <w:rPr/>
        <w:t>(a)</w:t>
        <w:tab/>
        <w:t>the location;</w:t>
      </w:r>
    </w:p>
    <w:p>
      <w:pPr>
        <w:pStyle w:val="Normal"/>
        <w:ind w:firstLine="720" w:end="0"/>
        <w:rPr/>
      </w:pPr>
      <w:r>
        <w:rPr/>
        <w:t>(b)</w:t>
        <w:tab/>
        <w:t>the name of the firm shipper relinquishing control;</w:t>
      </w:r>
    </w:p>
    <w:p>
      <w:pPr>
        <w:pStyle w:val="Normal"/>
        <w:ind w:firstLine="720" w:end="0"/>
        <w:rPr/>
      </w:pPr>
      <w:r>
        <w:rPr/>
        <w:t>(c)</w:t>
        <w:tab/>
        <w:t>the name of the agent for the firm shipper;</w:t>
      </w:r>
    </w:p>
    <w:p>
      <w:pPr>
        <w:pStyle w:val="Normal"/>
        <w:ind w:hanging="720" w:start="1440" w:end="0"/>
        <w:rPr/>
      </w:pPr>
      <w:r>
        <w:rPr/>
        <w:t>(d)</w:t>
        <w:tab/>
        <w:t>whether the agent can nominate capacity, release capacity, or both nominate and release;</w:t>
      </w:r>
    </w:p>
    <w:p>
      <w:pPr>
        <w:pStyle w:val="Normal"/>
        <w:ind w:firstLine="720" w:end="0"/>
        <w:rPr/>
      </w:pPr>
      <w:r>
        <w:rPr/>
        <w:t>(e)</w:t>
        <w:tab/>
        <w:t>the capacity under the agreement at that location; and</w:t>
      </w:r>
    </w:p>
    <w:p>
      <w:pPr>
        <w:pStyle w:val="Normal"/>
        <w:ind w:firstLine="720" w:end="0"/>
        <w:rPr/>
      </w:pPr>
      <w:r>
        <w:rPr/>
        <w:t>(f)</w:t>
        <w:tab/>
        <w:t>the expiration date of the agreement (if known).</w:t>
      </w:r>
    </w:p>
    <w:p>
      <w:pPr>
        <w:pStyle w:val="Normal"/>
        <w:ind w:firstLine="720" w:end="0"/>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Book Antiqua">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uble" w:sz="4" w:space="1" w:color="000000"/>
      </w:pBdr>
      <w:spacing w:before="240" w:after="0"/>
      <w:rPr/>
    </w:pPr>
    <w:r>
      <w:rPr>
        <w:sz w:val="20"/>
      </w:rPr>
      <w:t>Prepared for Counsel</w:t>
      <w:tab/>
    </w:r>
    <w:r>
      <w:rPr>
        <w:b/>
        <w:i/>
        <w:sz w:val="20"/>
      </w:rPr>
      <w:t>Economists Incorporated</w:t>
    </w:r>
    <w:r>
      <w:rPr>
        <w:sz w:val="20"/>
      </w:rPr>
      <w:tab/>
      <w:t>Privileged &amp; Confidential</w:t>
    </w:r>
  </w:p>
  <w:p>
    <w:pPr>
      <w:pStyle w:val="Footer"/>
      <w:spacing w:before="120" w:after="0"/>
      <w:rPr/>
    </w:pPr>
    <w:r>
      <w:rPr>
        <w:sz w:val="20"/>
      </w:rPr>
      <w:tab/>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r>
      <w:rPr>
        <w:rStyle w:val="PageNumber"/>
        <w:sz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uble" w:sz="4" w:space="1" w:color="000000"/>
      </w:pBdr>
      <w:spacing w:before="240" w:after="0"/>
      <w:rPr/>
    </w:pPr>
    <w:r>
      <w:rPr>
        <w:sz w:val="20"/>
      </w:rPr>
      <w:t>Prepared for Counsel</w:t>
      <w:tab/>
    </w:r>
    <w:r>
      <w:rPr>
        <w:b/>
        <w:i/>
        <w:sz w:val="20"/>
      </w:rPr>
      <w:t>Economists Incorporated</w:t>
    </w:r>
    <w:r>
      <w:rPr>
        <w:sz w:val="20"/>
      </w:rPr>
      <w:tab/>
      <w:t>Privileged &amp;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uble" w:sz="4" w:space="1" w:color="000000"/>
      </w:pBdr>
      <w:spacing w:before="240" w:after="0"/>
      <w:rPr/>
    </w:pPr>
    <w:r>
      <w:rPr>
        <w:sz w:val="20"/>
      </w:rPr>
      <w:t>Prepared for Counsel</w:t>
      <w:tab/>
    </w:r>
    <w:r>
      <w:rPr>
        <w:b/>
        <w:i/>
        <w:sz w:val="20"/>
      </w:rPr>
      <w:t>Economists Incorporated</w:t>
    </w:r>
    <w:r>
      <w:rPr>
        <w:sz w:val="20"/>
      </w:rPr>
      <w:tab/>
      <w:t>Privileged &amp; Confidential</w:t>
    </w:r>
  </w:p>
  <w:p>
    <w:pPr>
      <w:pStyle w:val="Footer"/>
      <w:spacing w:before="120" w:after="0"/>
      <w:rPr/>
    </w:pPr>
    <w:r>
      <w:rPr>
        <w:sz w:val="20"/>
      </w:rPr>
      <w:tab/>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w:rPr>
        <w:rStyle w:val="PageNumber"/>
        <w:sz w:val="20"/>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uble" w:sz="4" w:space="1" w:color="000000"/>
      </w:pBdr>
      <w:spacing w:before="240" w:after="0"/>
      <w:rPr/>
    </w:pPr>
    <w:r>
      <w:rPr>
        <w:sz w:val="20"/>
      </w:rPr>
      <w:t>Prepared for Counsel</w:t>
      <w:tab/>
    </w:r>
    <w:r>
      <w:rPr>
        <w:b/>
        <w:i/>
        <w:sz w:val="20"/>
      </w:rPr>
      <w:t>Economists Incorporated</w:t>
    </w:r>
    <w:r>
      <w:rPr>
        <w:sz w:val="20"/>
      </w:rPr>
      <w:tab/>
      <w:t>Privileged &amp; Confidential</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uble" w:sz="4" w:space="1" w:color="000000"/>
      </w:pBdr>
      <w:spacing w:before="240" w:after="0"/>
      <w:rPr/>
    </w:pPr>
    <w:r>
      <w:rPr>
        <w:sz w:val="20"/>
      </w:rPr>
      <w:t>Prepared for Counsel</w:t>
      <w:tab/>
    </w:r>
    <w:r>
      <w:rPr>
        <w:b/>
        <w:i/>
        <w:sz w:val="20"/>
      </w:rPr>
      <w:t>Economists Incorporated</w:t>
    </w:r>
    <w:r>
      <w:rPr>
        <w:sz w:val="20"/>
      </w:rPr>
      <w:tab/>
      <w:t>Privileged &amp; Confidential</w:t>
    </w:r>
  </w:p>
  <w:p>
    <w:pPr>
      <w:pStyle w:val="Footer"/>
      <w:spacing w:before="120" w:after="0"/>
      <w:rPr/>
    </w:pPr>
    <w:r>
      <w:rPr>
        <w:sz w:val="20"/>
      </w:rPr>
      <w:tab/>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r>
      <w:rPr>
        <w:rStyle w:val="PageNumber"/>
        <w:sz w:val="20"/>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uble" w:sz="4" w:space="1" w:color="000000"/>
      </w:pBdr>
      <w:spacing w:before="240" w:after="0"/>
      <w:rPr/>
    </w:pPr>
    <w:r>
      <w:rPr>
        <w:sz w:val="20"/>
      </w:rPr>
      <w:t>Prepared for Counsel</w:t>
      <w:tab/>
    </w:r>
    <w:r>
      <w:rPr>
        <w:b/>
        <w:i/>
        <w:sz w:val="20"/>
      </w:rPr>
      <w:t>Economists Incorporated</w:t>
    </w:r>
    <w:r>
      <w:rPr>
        <w:sz w:val="20"/>
      </w:rPr>
      <w:tab/>
      <w:t>Privileged &amp; Confidential</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uble" w:sz="4" w:space="1" w:color="000000"/>
      </w:pBdr>
      <w:spacing w:before="240" w:after="0"/>
      <w:rPr/>
    </w:pPr>
    <w:r>
      <w:rPr>
        <w:sz w:val="20"/>
      </w:rPr>
      <w:t>Prepared for Counsel</w:t>
      <w:tab/>
    </w:r>
    <w:r>
      <w:rPr>
        <w:b/>
        <w:i/>
        <w:sz w:val="20"/>
      </w:rPr>
      <w:t>Economists Incorporated</w:t>
    </w:r>
    <w:r>
      <w:rPr>
        <w:sz w:val="20"/>
      </w:rPr>
      <w:tab/>
      <w:t>Privileged &amp; Confidential</w:t>
    </w:r>
  </w:p>
  <w:p>
    <w:pPr>
      <w:pStyle w:val="Footer"/>
      <w:spacing w:before="120" w:after="0"/>
      <w:rPr/>
    </w:pPr>
    <w:r>
      <w:rPr>
        <w:sz w:val="20"/>
      </w:rPr>
      <w:tab/>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r>
      <w:rPr>
        <w:rStyle w:val="PageNumber"/>
        <w:sz w:val="20"/>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uble" w:sz="4" w:space="1" w:color="000000"/>
      </w:pBdr>
      <w:spacing w:before="240" w:after="0"/>
      <w:rPr/>
    </w:pPr>
    <w:r>
      <w:rPr>
        <w:sz w:val="20"/>
      </w:rPr>
      <w:t>Prepared for Counsel</w:t>
      <w:tab/>
    </w:r>
    <w:r>
      <w:rPr>
        <w:b/>
        <w:i/>
        <w:sz w:val="20"/>
      </w:rPr>
      <w:t>Economists Incorporated</w:t>
    </w:r>
    <w:r>
      <w:rPr>
        <w:sz w:val="20"/>
      </w:rPr>
      <w:tab/>
      <w:t>Privileged &amp; 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0"/>
      </w:rPr>
      <w:t>DRAFT</w:t>
      <w:tab/>
      <w:tab/>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xml:space="preserve">  </w:t>
    </w:r>
    <w:r>
      <w:rPr>
        <w:b/>
        <w:sz w:val="20"/>
      </w:rPr>
      <w:fldChar w:fldCharType="begin"/>
    </w:r>
    <w:r>
      <w:rPr>
        <w:sz w:val="20"/>
        <w:b/>
      </w:rPr>
      <w:instrText xml:space="preserve"> TIME \@"H:mm\ AM/PM" </w:instrText>
    </w:r>
    <w:r>
      <w:rPr>
        <w:sz w:val="20"/>
        <w:b/>
      </w:rPr>
      <w:fldChar w:fldCharType="separate"/>
    </w:r>
    <w:r>
      <w:rPr>
        <w:sz w:val="20"/>
        <w:b/>
      </w:rPr>
      <w:t>8:46 AM</w:t>
    </w:r>
    <w:r>
      <w:rPr>
        <w:sz w:val="20"/>
        <w:b/>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rPr>
    </w:pPr>
    <w:r>
      <w:rPr>
        <w:b/>
        <w:sz w:val="20"/>
      </w:rPr>
      <w:t>DRAFT</w:t>
      <w:tab/>
      <w:tab/>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xml:space="preserve">  </w:t>
    </w:r>
    <w:r>
      <w:rPr>
        <w:b/>
        <w:sz w:val="20"/>
      </w:rPr>
      <w:fldChar w:fldCharType="begin"/>
    </w:r>
    <w:r>
      <w:rPr>
        <w:sz w:val="20"/>
        <w:b/>
      </w:rPr>
      <w:instrText xml:space="preserve"> TIME \@"H:mm\ AM/PM" </w:instrText>
    </w:r>
    <w:r>
      <w:rPr>
        <w:sz w:val="20"/>
        <w:b/>
      </w:rPr>
      <w:fldChar w:fldCharType="separate"/>
    </w:r>
    <w:r>
      <w:rPr>
        <w:sz w:val="20"/>
        <w:b/>
      </w:rPr>
      <w:t>8:46 AM</w:t>
    </w:r>
    <w:r>
      <w:rPr>
        <w:sz w:val="20"/>
        <w:b/>
      </w:rPr>
      <w:fldChar w:fldCharType="end"/>
    </w:r>
  </w:p>
  <w:p>
    <w:pPr>
      <w:pStyle w:val="Header"/>
      <w:rPr>
        <w:b/>
        <w:sz w:val="20"/>
      </w:rPr>
    </w:pPr>
    <w:r>
      <w:rPr>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0"/>
      </w:rPr>
      <w:t>DRAFT</w:t>
      <w:tab/>
      <w:tab/>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xml:space="preserve">  </w:t>
    </w:r>
    <w:r>
      <w:rPr>
        <w:b/>
        <w:sz w:val="20"/>
      </w:rPr>
      <w:fldChar w:fldCharType="begin"/>
    </w:r>
    <w:r>
      <w:rPr>
        <w:sz w:val="20"/>
        <w:b/>
      </w:rPr>
      <w:instrText xml:space="preserve"> TIME \@"H:mm\ AM/PM" </w:instrText>
    </w:r>
    <w:r>
      <w:rPr>
        <w:sz w:val="20"/>
        <w:b/>
      </w:rPr>
      <w:fldChar w:fldCharType="separate"/>
    </w:r>
    <w:r>
      <w:rPr>
        <w:sz w:val="20"/>
        <w:b/>
      </w:rPr>
      <w:t>8:46 AM</w:t>
    </w:r>
    <w:r>
      <w:rPr>
        <w:sz w:val="20"/>
        <w:b/>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0"/>
      </w:rPr>
      <w:t>DRAFT</w:t>
      <w:tab/>
      <w:tab/>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xml:space="preserve">  </w:t>
    </w:r>
    <w:r>
      <w:rPr>
        <w:b/>
        <w:sz w:val="20"/>
      </w:rPr>
      <w:fldChar w:fldCharType="begin"/>
    </w:r>
    <w:r>
      <w:rPr>
        <w:sz w:val="20"/>
        <w:b/>
      </w:rPr>
      <w:instrText xml:space="preserve"> TIME \@"H:mm\ AM/PM" </w:instrText>
    </w:r>
    <w:r>
      <w:rPr>
        <w:sz w:val="20"/>
        <w:b/>
      </w:rPr>
      <w:fldChar w:fldCharType="separate"/>
    </w:r>
    <w:r>
      <w:rPr>
        <w:sz w:val="20"/>
        <w:b/>
      </w:rPr>
      <w:t>8:46 AM</w:t>
    </w:r>
    <w:r>
      <w:rPr>
        <w:sz w:val="20"/>
        <w:b/>
      </w:rPr>
      <w:fldChar w:fldCharType="end"/>
    </w:r>
  </w:p>
  <w:p>
    <w:pPr>
      <w:pStyle w:val="Header"/>
      <w:rPr>
        <w:b/>
        <w:sz w:val="20"/>
      </w:rPr>
    </w:pPr>
    <w:r>
      <w:rPr>
        <w:b/>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0"/>
      </w:rPr>
      <w:t>DRAFT</w:t>
      <w:tab/>
      <w:tab/>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xml:space="preserve">  </w:t>
    </w:r>
    <w:r>
      <w:rPr>
        <w:b/>
        <w:sz w:val="20"/>
      </w:rPr>
      <w:fldChar w:fldCharType="begin"/>
    </w:r>
    <w:r>
      <w:rPr>
        <w:sz w:val="20"/>
        <w:b/>
      </w:rPr>
      <w:instrText xml:space="preserve"> TIME \@"H:mm\ AM/PM" </w:instrText>
    </w:r>
    <w:r>
      <w:rPr>
        <w:sz w:val="20"/>
        <w:b/>
      </w:rPr>
      <w:fldChar w:fldCharType="separate"/>
    </w:r>
    <w:r>
      <w:rPr>
        <w:sz w:val="20"/>
        <w:b/>
      </w:rPr>
      <w:t>8:46 AM</w:t>
    </w:r>
    <w:r>
      <w:rPr>
        <w:sz w:val="20"/>
        <w:b/>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0"/>
      </w:rPr>
      <w:t>DRAFT</w:t>
      <w:tab/>
      <w:tab/>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xml:space="preserve">  </w:t>
    </w:r>
    <w:r>
      <w:rPr>
        <w:b/>
        <w:sz w:val="20"/>
      </w:rPr>
      <w:fldChar w:fldCharType="begin"/>
    </w:r>
    <w:r>
      <w:rPr>
        <w:sz w:val="20"/>
        <w:b/>
      </w:rPr>
      <w:instrText xml:space="preserve"> TIME \@"H:mm\ AM/PM" </w:instrText>
    </w:r>
    <w:r>
      <w:rPr>
        <w:sz w:val="20"/>
        <w:b/>
      </w:rPr>
      <w:fldChar w:fldCharType="separate"/>
    </w:r>
    <w:r>
      <w:rPr>
        <w:sz w:val="20"/>
        <w:b/>
      </w:rPr>
      <w:t>8:46 AM</w:t>
    </w:r>
    <w:r>
      <w:rPr>
        <w:sz w:val="20"/>
        <w:b/>
      </w:rPr>
      <w:fldChar w:fldCharType="end"/>
    </w:r>
  </w:p>
  <w:p>
    <w:pPr>
      <w:pStyle w:val="Header"/>
      <w:rPr>
        <w:b/>
        <w:sz w:val="20"/>
      </w:rPr>
    </w:pPr>
    <w:r>
      <w:rPr>
        <w:b/>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0"/>
      </w:rPr>
      <w:t>DRAFT</w:t>
      <w:tab/>
      <w:tab/>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xml:space="preserve">  </w:t>
    </w:r>
    <w:r>
      <w:rPr>
        <w:b/>
        <w:sz w:val="20"/>
      </w:rPr>
      <w:fldChar w:fldCharType="begin"/>
    </w:r>
    <w:r>
      <w:rPr>
        <w:sz w:val="20"/>
        <w:b/>
      </w:rPr>
      <w:instrText xml:space="preserve"> TIME \@"H:mm\ AM/PM" </w:instrText>
    </w:r>
    <w:r>
      <w:rPr>
        <w:sz w:val="20"/>
        <w:b/>
      </w:rPr>
      <w:fldChar w:fldCharType="separate"/>
    </w:r>
    <w:r>
      <w:rPr>
        <w:sz w:val="20"/>
        <w:b/>
      </w:rPr>
      <w:t>8:46 AM</w:t>
    </w:r>
    <w:r>
      <w:rPr>
        <w:sz w:val="20"/>
        <w:b/>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0"/>
      </w:rPr>
      <w:t>DRAFT</w:t>
      <w:tab/>
      <w:tab/>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xml:space="preserve">  </w:t>
    </w:r>
    <w:r>
      <w:rPr>
        <w:b/>
        <w:sz w:val="20"/>
      </w:rPr>
      <w:fldChar w:fldCharType="begin"/>
    </w:r>
    <w:r>
      <w:rPr>
        <w:sz w:val="20"/>
        <w:b/>
      </w:rPr>
      <w:instrText xml:space="preserve"> TIME \@"H:mm\ AM/PM" </w:instrText>
    </w:r>
    <w:r>
      <w:rPr>
        <w:sz w:val="20"/>
        <w:b/>
      </w:rPr>
      <w:fldChar w:fldCharType="separate"/>
    </w:r>
    <w:r>
      <w:rPr>
        <w:sz w:val="20"/>
        <w:b/>
      </w:rPr>
      <w:t>8:46 AM</w:t>
    </w:r>
    <w:r>
      <w:rPr>
        <w:sz w:val="20"/>
        <w:b/>
      </w:rPr>
      <w:fldChar w:fldCharType="end"/>
    </w:r>
  </w:p>
  <w:p>
    <w:pPr>
      <w:pStyle w:val="Header"/>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ind w:hanging="540" w:start="1800" w:end="0"/>
      <w:outlineLvl w:val="2"/>
    </w:pPr>
    <w:rPr/>
  </w:style>
  <w:style w:type="paragraph" w:styleId="Heading4">
    <w:name w:val="heading 4"/>
    <w:basedOn w:val="Normal"/>
    <w:next w:val="Normal"/>
    <w:qFormat/>
    <w:pPr>
      <w:keepNext w:val="true"/>
      <w:numPr>
        <w:ilvl w:val="3"/>
        <w:numId w:val="1"/>
      </w:numPr>
      <w:tabs>
        <w:tab w:val="clear" w:pos="720"/>
      </w:tabs>
      <w:spacing w:before="240" w:after="60"/>
      <w:ind w:hanging="360" w:start="0" w:end="0"/>
      <w:outlineLvl w:val="3"/>
    </w:pPr>
    <w:rPr>
      <w:i/>
    </w:rPr>
  </w:style>
  <w:style w:type="paragraph" w:styleId="Heading5">
    <w:name w:val="heading 5"/>
    <w:basedOn w:val="Normal"/>
    <w:next w:val="Normal"/>
    <w:qFormat/>
    <w:pPr>
      <w:numPr>
        <w:ilvl w:val="4"/>
        <w:numId w:val="1"/>
      </w:numPr>
      <w:tabs>
        <w:tab w:val="clear" w:pos="720"/>
      </w:tabs>
      <w:spacing w:before="240" w:after="60"/>
      <w:ind w:hanging="540" w:start="2700" w:end="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pBdr>
        <w:bottom w:val="double" w:sz="4" w:space="1" w:color="000000"/>
      </w:pBdr>
      <w:jc w:val="center"/>
    </w:pPr>
    <w:rPr>
      <w:b/>
      <w:sz w:val="36"/>
    </w:rPr>
  </w:style>
  <w:style w:type="paragraph" w:styleId="BodyText">
    <w:name w:val="Body Text"/>
    <w:basedOn w:val="Normal"/>
    <w:pPr>
      <w:spacing w:before="24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Response">
    <w:name w:val="Response"/>
    <w:basedOn w:val="BodyText"/>
    <w:qFormat/>
    <w:pPr>
      <w:ind w:hanging="0" w:start="720" w:end="720"/>
    </w:pPr>
    <w:rPr/>
  </w:style>
  <w:style w:type="paragraph" w:styleId="Commentary">
    <w:name w:val="Commentary"/>
    <w:basedOn w:val="BodyText"/>
    <w:qFormat/>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EI_Memo.dot</Template>
  <TotalTime>257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2000-12-04T16:12:00Z</dcterms:created>
  <dc:creator>Morris.J</dc:creator>
  <dc:description/>
  <dc:language>en-CA</dc:language>
  <cp:lastModifiedBy>Morris.J</cp:lastModifiedBy>
  <cp:lastPrinted>2000-12-05T16:16:00Z</cp:lastPrinted>
  <dcterms:modified xsi:type="dcterms:W3CDTF">2000-12-05T18:50:00Z</dcterms:modified>
  <cp:revision>9</cp:revision>
  <dc:subject/>
  <dc:title>Memorandum</dc:title>
</cp:coreProperties>
</file>