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COMM-OPINION-ORDER, 82 FERC ¶61,227, </w:t>
      </w:r>
      <w:r>
        <w:rPr>
          <w:b/>
          <w:bCs/>
        </w:rPr>
        <w:t>Pacific Gas Transmission Company and Southern California Edison Company, Docket No. IN98-2-000</w:t>
      </w:r>
      <w:r>
        <w:rPr/>
        <w:t>, (Mar. 06, 1998)</w:t>
      </w:r>
    </w:p>
    <w:p>
      <w:pPr>
        <w:pStyle w:val="Normal"/>
        <w:rPr/>
      </w:pPr>
      <w:r>
        <w:rPr/>
        <w:t xml:space="preserve"> </w:t>
      </w:r>
    </w:p>
    <w:p>
      <w:pPr>
        <w:pStyle w:val="Normal"/>
        <w:rPr>
          <w:b/>
          <w:bCs/>
        </w:rPr>
      </w:pPr>
      <w:r>
        <w:rPr>
          <w:b/>
          <w:bCs/>
        </w:rPr>
        <w:t>Pacific Gas Transmission Company and Southern California Edison Company, Docket No. IN98-2-000</w:t>
      </w:r>
    </w:p>
    <w:p>
      <w:pPr>
        <w:pStyle w:val="Normal"/>
        <w:rPr/>
      </w:pPr>
      <w:r>
        <w:rPr/>
        <w:t xml:space="preserve"> </w:t>
      </w:r>
    </w:p>
    <w:p>
      <w:pPr>
        <w:pStyle w:val="Normal"/>
        <w:rPr>
          <w:b/>
          <w:bCs/>
        </w:rPr>
      </w:pPr>
      <w:r>
        <w:rPr>
          <w:b/>
          <w:bCs/>
        </w:rPr>
        <w:t>[61,873]</w:t>
      </w:r>
    </w:p>
    <w:p>
      <w:pPr>
        <w:pStyle w:val="Normal"/>
        <w:rPr/>
      </w:pPr>
      <w:r>
        <w:rPr/>
        <w:t xml:space="preserve"> </w:t>
      </w:r>
    </w:p>
    <w:p>
      <w:pPr>
        <w:pStyle w:val="Normal"/>
        <w:jc w:val="center"/>
        <w:rPr>
          <w:b/>
          <w:bCs/>
        </w:rPr>
      </w:pPr>
      <w:r>
        <w:rPr>
          <w:b/>
          <w:bCs/>
        </w:rPr>
        <w:t>[¶61,227]</w:t>
      </w:r>
    </w:p>
    <w:p>
      <w:pPr>
        <w:pStyle w:val="Normal"/>
        <w:rPr/>
      </w:pPr>
      <w:r>
        <w:rPr/>
        <w:t xml:space="preserve"> </w:t>
      </w:r>
    </w:p>
    <w:p>
      <w:pPr>
        <w:pStyle w:val="Normal"/>
        <w:ind w:hanging="480" w:start="480" w:end="0"/>
        <w:rPr>
          <w:b/>
          <w:bCs/>
        </w:rPr>
      </w:pPr>
      <w:r>
        <w:rPr>
          <w:b/>
          <w:bCs/>
        </w:rPr>
        <w:t>Pacific Gas Transmission Company and Southern California Edison Company, Docket No. IN98-2-000</w:t>
      </w:r>
    </w:p>
    <w:p>
      <w:pPr>
        <w:pStyle w:val="Normal"/>
        <w:ind w:hanging="480" w:start="480" w:end="0"/>
        <w:rPr/>
      </w:pPr>
      <w:r>
        <w:rPr/>
        <w:t xml:space="preserve"> </w:t>
      </w:r>
    </w:p>
    <w:p>
      <w:pPr>
        <w:pStyle w:val="Normal"/>
        <w:ind w:hanging="480" w:start="480" w:end="0"/>
        <w:rPr>
          <w:b/>
          <w:bCs/>
        </w:rPr>
      </w:pPr>
      <w:r>
        <w:rPr>
          <w:b/>
          <w:bCs/>
        </w:rPr>
        <w:t>Declaratory Order</w:t>
      </w:r>
    </w:p>
    <w:p>
      <w:pPr>
        <w:pStyle w:val="Normal"/>
        <w:ind w:hanging="480" w:start="480" w:end="0"/>
        <w:rPr/>
      </w:pPr>
      <w:r>
        <w:rPr/>
        <w:t xml:space="preserve"> </w:t>
      </w:r>
    </w:p>
    <w:p>
      <w:pPr>
        <w:pStyle w:val="Normal"/>
        <w:jc w:val="center"/>
        <w:rPr>
          <w:b/>
          <w:bCs/>
        </w:rPr>
      </w:pPr>
      <w:r>
        <w:rPr>
          <w:b/>
          <w:bCs/>
        </w:rPr>
        <w:t>(Issued March 6, 1998)</w:t>
      </w:r>
    </w:p>
    <w:p>
      <w:pPr>
        <w:pStyle w:val="Normal"/>
        <w:rPr/>
      </w:pPr>
      <w:r>
        <w:rPr/>
        <w:t xml:space="preserve"> </w:t>
      </w:r>
    </w:p>
    <w:p>
      <w:pPr>
        <w:pStyle w:val="Normal"/>
        <w:ind w:hanging="480" w:start="480" w:end="0"/>
        <w:rPr>
          <w:b/>
          <w:bCs/>
        </w:rPr>
      </w:pPr>
      <w:r>
        <w:rPr>
          <w:b/>
          <w:bCs/>
        </w:rPr>
        <w:t>Before Commissioners: James J. Hoecker, Chairman; Vicky A. Bailey, William L. Massey, Linda Breathitt, and Curt Hebert, Jr.</w:t>
      </w:r>
    </w:p>
    <w:p>
      <w:pPr>
        <w:pStyle w:val="Normal"/>
        <w:ind w:hanging="480" w:start="480" w:end="0"/>
        <w:rPr/>
      </w:pPr>
      <w:r>
        <w:rPr/>
        <w:t xml:space="preserve"> </w:t>
      </w:r>
    </w:p>
    <w:p>
      <w:pPr>
        <w:pStyle w:val="Normal"/>
        <w:ind w:firstLine="240" w:end="0"/>
        <w:rPr/>
      </w:pPr>
      <w:r>
        <w:rPr/>
        <w:t>The Enforcement section, Office of the General Counsel (Enforcement), reported to the Commission that in June 1997, Pacific Gas Transmission Company (PGT) posted notices on its electronic bulletin board (EBB) that Southern California Edison Company (Edison) had made five permanent, firm capacity releases totaling approximately 172,000 Dth/day to various prearranged replacement shippers. The releases became effective on July 1. PGT’s posting stated that: “[c]onsideration is being paid to assignee to take capacity at the as-billed rate.”</w:t>
      </w:r>
    </w:p>
    <w:p>
      <w:pPr>
        <w:pStyle w:val="Normal"/>
        <w:ind w:firstLine="240" w:end="0"/>
        <w:rPr/>
      </w:pPr>
      <w:r>
        <w:rPr/>
        <w:t xml:space="preserve"> </w:t>
      </w:r>
    </w:p>
    <w:p>
      <w:pPr>
        <w:pStyle w:val="Normal"/>
        <w:ind w:firstLine="240" w:end="0"/>
        <w:rPr/>
      </w:pPr>
      <w:r>
        <w:rPr/>
        <w:t>The releases were related to Edison’s recent sale of its gas-fired electric power generation plants. Edison has released long-term transportation capacity on PGT, Pacific Gas and Electric Company, and on two Canadian pipelines, Alberta Natural Gas Company, Ltd. and Nova Gas Transmission Ltd.</w:t>
      </w:r>
    </w:p>
    <w:p>
      <w:pPr>
        <w:pStyle w:val="Normal"/>
        <w:ind w:firstLine="240" w:end="0"/>
        <w:rPr/>
      </w:pPr>
      <w:r>
        <w:rPr/>
        <w:t xml:space="preserve"> </w:t>
      </w:r>
    </w:p>
    <w:p>
      <w:pPr>
        <w:pStyle w:val="Normal"/>
        <w:ind w:firstLine="240" w:end="0"/>
        <w:rPr/>
      </w:pPr>
      <w:r>
        <w:rPr/>
        <w:t>In October 1997, at the request of Enforcement, PGT posted for bidding two of Edison’s prospective prearranged capacity release transactions totaling approximately 29,500 Dth/day on PGT’s system. The postings offered the capacity on a PGT-only, stand-alone basis or in conjunction with the Canadian and California pipeline capacity. Although Edison requested the maximum rate, each notice invited bidders to state the amount of consideration that Edison would have to pay them to release Edison from its firm transportation contract with PGT. The postings did not reveal the amount of consideration Edison offered the prearranged shippers. Edison did not receive any competing bids, and, on October 30, 1997, PGT awarded the capacity to the prearranged shippers. Details of the seven releases are shown in Appendix A attached to this order.</w:t>
      </w:r>
    </w:p>
    <w:p>
      <w:pPr>
        <w:pStyle w:val="Normal"/>
        <w:ind w:firstLine="240" w:end="0"/>
        <w:rPr/>
      </w:pPr>
      <w:r>
        <w:rPr/>
        <w:t xml:space="preserve"> </w:t>
      </w:r>
    </w:p>
    <w:p>
      <w:pPr>
        <w:pStyle w:val="Normal"/>
        <w:ind w:firstLine="240" w:end="0"/>
        <w:rPr/>
      </w:pPr>
      <w:r>
        <w:rPr/>
        <w:t xml:space="preserve">The Commission clarifies that the “consideration” paid by Edison was a discount on the transportation rate. Thus, as discussed below, such capacity release transactions must follow the posting and bidding requirements of the </w:t>
      </w:r>
    </w:p>
    <w:p>
      <w:pPr>
        <w:pStyle w:val="Normal"/>
        <w:ind w:firstLine="240" w:end="0"/>
        <w:rPr/>
      </w:pPr>
      <w:r>
        <w:rPr/>
        <w:t xml:space="preserve"> </w:t>
      </w:r>
    </w:p>
    <w:p>
      <w:pPr>
        <w:pStyle w:val="Normal"/>
        <w:rPr>
          <w:b/>
          <w:bCs/>
        </w:rPr>
      </w:pPr>
      <w:r>
        <w:rPr>
          <w:b/>
          <w:bCs/>
        </w:rPr>
        <w:t>[61,874]</w:t>
      </w:r>
    </w:p>
    <w:p>
      <w:pPr>
        <w:pStyle w:val="Normal"/>
        <w:rPr/>
      </w:pPr>
      <w:r>
        <w:rPr/>
        <w:t xml:space="preserve"> </w:t>
      </w:r>
    </w:p>
    <w:p>
      <w:pPr>
        <w:pStyle w:val="Normal"/>
        <w:rPr/>
      </w:pPr>
      <w:r>
        <w:rPr/>
        <w:t>Commission’s regulations, 18 C.F.R. §§284.243(c)-(e) (1997).</w:t>
      </w:r>
    </w:p>
    <w:p>
      <w:pPr>
        <w:pStyle w:val="Normal"/>
        <w:rPr/>
      </w:pPr>
      <w:r>
        <w:rPr/>
        <w:t xml:space="preserve"> </w:t>
      </w:r>
    </w:p>
    <w:p>
      <w:pPr>
        <w:pStyle w:val="Normal"/>
        <w:rPr>
          <w:i/>
          <w:i/>
          <w:iCs/>
        </w:rPr>
      </w:pPr>
      <w:r>
        <w:rPr>
          <w:i/>
          <w:iCs/>
        </w:rPr>
        <w:t>Discussion</w:t>
      </w:r>
    </w:p>
    <w:p>
      <w:pPr>
        <w:pStyle w:val="Normal"/>
        <w:rPr/>
      </w:pPr>
      <w:r>
        <w:rPr/>
        <w:t xml:space="preserve"> </w:t>
      </w:r>
    </w:p>
    <w:p>
      <w:pPr>
        <w:pStyle w:val="Normal"/>
        <w:ind w:firstLine="240" w:end="0"/>
        <w:rPr/>
      </w:pPr>
      <w:r>
        <w:rPr/>
        <w:t>Sections 284.243(c), (d) and (e) provide:</w:t>
      </w:r>
    </w:p>
    <w:p>
      <w:pPr>
        <w:pStyle w:val="Normal"/>
        <w:ind w:firstLine="240" w:end="0"/>
        <w:rPr/>
      </w:pPr>
      <w:r>
        <w:rPr/>
        <w:t xml:space="preserve"> </w:t>
      </w:r>
    </w:p>
    <w:p>
      <w:pPr>
        <w:pStyle w:val="Normal"/>
        <w:ind w:firstLine="120" w:start="120" w:end="0"/>
        <w:rPr/>
      </w:pPr>
      <w:r>
        <w:rPr/>
        <w:t>(c) Except as provided in paragraph (h) of this section, a firm shipper that wants to release any or all of its firm capacity must notify the pipeline of the terms and conditions under which the shipper will release its capacity. The firm shipper must also notify the pipeline of any replacement shipper designated to obtain the released capacity under the terms and conditions specified by the firm shipper.</w:t>
      </w:r>
    </w:p>
    <w:p>
      <w:pPr>
        <w:pStyle w:val="Normal"/>
        <w:ind w:firstLine="120" w:start="120" w:end="0"/>
        <w:rPr/>
      </w:pPr>
      <w:r>
        <w:rPr/>
        <w:t xml:space="preserve"> </w:t>
      </w:r>
    </w:p>
    <w:p>
      <w:pPr>
        <w:pStyle w:val="Normal"/>
        <w:ind w:firstLine="120" w:start="120" w:end="0"/>
        <w:rPr/>
      </w:pPr>
      <w:r>
        <w:rPr/>
        <w:t>(d) The pipeline must provide notice of offers to release or to purchase capacity, the terms and conditions of such offers, and the name of any replacement shipper designated in paragraph (b) of this section, on an electronic bulletin board, for a reasonable period.</w:t>
      </w:r>
    </w:p>
    <w:p>
      <w:pPr>
        <w:pStyle w:val="Normal"/>
        <w:ind w:firstLine="120" w:start="120" w:end="0"/>
        <w:rPr/>
      </w:pPr>
      <w:r>
        <w:rPr/>
        <w:t xml:space="preserve"> </w:t>
      </w:r>
    </w:p>
    <w:p>
      <w:pPr>
        <w:pStyle w:val="Normal"/>
        <w:ind w:firstLine="120" w:start="120" w:end="0"/>
        <w:rPr/>
      </w:pPr>
      <w:r>
        <w:rPr/>
        <w:t>(e) The pipeline must allocate released capacity to the person offering the highest rate (not over the maximum rate) and offering to meet any other terms and conditions of the release. If more than one person offers the highest rate and meets the terms and conditions of the release, the released capacity may be allocated on a basis provided in the pipeline’s tariff, provided however, if the replacement shipper designated in paragraph (b) of this section offers the highest rate, the capacity must be allocated to the designated replacement shipper.</w:t>
      </w:r>
    </w:p>
    <w:p>
      <w:pPr>
        <w:pStyle w:val="Normal"/>
        <w:ind w:firstLine="120" w:start="120" w:end="0"/>
        <w:rPr/>
      </w:pPr>
      <w:r>
        <w:rPr/>
        <w:t xml:space="preserve"> </w:t>
      </w:r>
    </w:p>
    <w:p>
      <w:pPr>
        <w:pStyle w:val="Normal"/>
        <w:ind w:firstLine="240" w:end="0"/>
        <w:rPr/>
      </w:pPr>
      <w:r>
        <w:rPr/>
        <w:t>However, releases of capacity of 31 days or less, or for any term at the maximum tariff rate applicable to the release, do not have to comply with the notification and bidding requirements quoted above. 18 C.F.R. §284.243(h)(1) (1997).</w:t>
      </w:r>
    </w:p>
    <w:p>
      <w:pPr>
        <w:pStyle w:val="Normal"/>
        <w:ind w:firstLine="240" w:end="0"/>
        <w:rPr/>
      </w:pPr>
      <w:r>
        <w:rPr/>
        <w:t xml:space="preserve"> </w:t>
      </w:r>
    </w:p>
    <w:p>
      <w:pPr>
        <w:pStyle w:val="Normal"/>
        <w:ind w:firstLine="240" w:end="0"/>
        <w:rPr/>
      </w:pPr>
      <w:r>
        <w:rPr/>
        <w:t xml:space="preserve">The Commission stated in Order No. 636-A that the capacity release regulations serve two goals: (1) to ensure that notice is given for all capacity reallocations; and (2) to give parties an opportunity to bid a higher rate so that efficiency is enhanced by allocating capacity to the shipper that places the highest value on it. </w:t>
      </w:r>
      <w:r>
        <w:rPr>
          <w:vertAlign w:val="superscript"/>
        </w:rPr>
        <w:t>1</w:t>
      </w:r>
      <w:r>
        <w:rPr/>
        <w:t xml:space="preserve"> On review, the court confirmed:</w:t>
      </w:r>
    </w:p>
    <w:p>
      <w:pPr>
        <w:pStyle w:val="Normal"/>
        <w:ind w:firstLine="240" w:end="0"/>
        <w:rPr/>
      </w:pPr>
      <w:r>
        <w:rPr/>
        <w:t xml:space="preserve"> </w:t>
      </w:r>
    </w:p>
    <w:p>
      <w:pPr>
        <w:pStyle w:val="Normal"/>
        <w:ind w:start="240" w:end="0"/>
        <w:rPr/>
      </w:pPr>
      <w:r>
        <w:rPr/>
        <w:t xml:space="preserve">The goal of capacity release is to create a uniform national market for transportation, not to maximize the benefit to LDCs. Only by utilizing nondiscriminatory factors in determining the prevailing bid can FERC ensure that the shipper that places the highest value on capacity receives it. [ </w:t>
      </w:r>
      <w:r>
        <w:rPr>
          <w:vertAlign w:val="superscript"/>
        </w:rPr>
        <w:t>2</w:t>
      </w:r>
      <w:r>
        <w:rPr/>
        <w:t>]</w:t>
      </w:r>
    </w:p>
    <w:p>
      <w:pPr>
        <w:pStyle w:val="Normal"/>
        <w:ind w:start="240" w:end="0"/>
        <w:rPr/>
      </w:pPr>
      <w:r>
        <w:rPr/>
        <w:t xml:space="preserve"> </w:t>
      </w:r>
    </w:p>
    <w:p>
      <w:pPr>
        <w:pStyle w:val="Normal"/>
        <w:ind w:firstLine="240" w:end="0"/>
        <w:rPr/>
      </w:pPr>
      <w:r>
        <w:rPr/>
        <w:t>A releasing shipper who pays “consideration” to a replacement shipper is actually receiving less than the maximum rate, and thus the posting and bidding requirements of sections 284.243(c)-(e) apply. The Commission in Order No. 636-A, in response to a commenter’s concern about the possibility of abuse by releasing shippers, stated:</w:t>
      </w:r>
    </w:p>
    <w:p>
      <w:pPr>
        <w:pStyle w:val="Normal"/>
        <w:ind w:firstLine="240" w:end="0"/>
        <w:rPr/>
      </w:pPr>
      <w:r>
        <w:rPr/>
        <w:t xml:space="preserve"> </w:t>
      </w:r>
    </w:p>
    <w:p>
      <w:pPr>
        <w:pStyle w:val="Normal"/>
        <w:ind w:start="240" w:end="0"/>
        <w:rPr/>
      </w:pPr>
      <w:r>
        <w:rPr/>
        <w:t xml:space="preserve">The Commission reiterates that all terms and conditions for capacity release must be posted and nondiscriminatory, and must relate solely to the details of acquiring transportation on the interstate pipelines. Release of pipeline capacity cannot be tied to any other conditions. Moreover, the Commission will not tolerate deals undertaken to avoid the notice requirements of the regulations. </w:t>
      </w:r>
      <w:r>
        <w:rPr>
          <w:vertAlign w:val="superscript"/>
        </w:rPr>
        <w:t>3</w:t>
      </w:r>
    </w:p>
    <w:p>
      <w:pPr>
        <w:pStyle w:val="Normal"/>
        <w:ind w:start="240" w:end="0"/>
        <w:rPr/>
      </w:pPr>
      <w:r>
        <w:rPr/>
        <w:t xml:space="preserve"> </w:t>
      </w:r>
    </w:p>
    <w:p>
      <w:pPr>
        <w:pStyle w:val="Normal"/>
        <w:ind w:firstLine="240" w:end="0"/>
        <w:rPr/>
      </w:pPr>
      <w:r>
        <w:rPr/>
        <w:t>Moreover, the maximum rate exception to the posting and bidding requirements does not apply to Edison’s releases. The Commission explained the rationale for the exception in Order No. 636-B:</w:t>
      </w:r>
    </w:p>
    <w:p>
      <w:pPr>
        <w:pStyle w:val="Normal"/>
        <w:ind w:firstLine="240" w:end="0"/>
        <w:rPr/>
      </w:pPr>
      <w:r>
        <w:rPr/>
        <w:t xml:space="preserve"> </w:t>
      </w:r>
    </w:p>
    <w:p>
      <w:pPr>
        <w:pStyle w:val="Normal"/>
        <w:ind w:start="240" w:end="0"/>
        <w:rPr/>
      </w:pPr>
      <w:r>
        <w:rPr/>
        <w:t xml:space="preserve">when a prearranged deal is at the maximum tariff rate, and meets all other terms and conditions of the release, no other shipper can make a better bid for that capacity. . . . </w:t>
      </w:r>
      <w:r>
        <w:rPr>
          <w:vertAlign w:val="superscript"/>
        </w:rPr>
        <w:t>4</w:t>
      </w:r>
    </w:p>
    <w:p>
      <w:pPr>
        <w:pStyle w:val="Normal"/>
        <w:ind w:start="240" w:end="0"/>
        <w:rPr/>
      </w:pPr>
      <w:r>
        <w:rPr/>
        <w:t xml:space="preserve"> </w:t>
      </w:r>
    </w:p>
    <w:p>
      <w:pPr>
        <w:pStyle w:val="Normal"/>
        <w:rPr/>
      </w:pPr>
      <w:r>
        <w:rPr/>
        <w:t xml:space="preserve">Thus, the exception to the bidding requirements for releases at the maximum rate is triggered when the replacement shipper pays the maximum rate, not when the pipeline receives the maximum rate. </w:t>
      </w:r>
      <w:r>
        <w:rPr>
          <w:vertAlign w:val="superscript"/>
        </w:rPr>
        <w:t>5</w:t>
      </w:r>
    </w:p>
    <w:p>
      <w:pPr>
        <w:pStyle w:val="Normal"/>
        <w:rPr/>
      </w:pPr>
      <w:r>
        <w:rPr/>
        <w:t xml:space="preserve"> </w:t>
      </w:r>
    </w:p>
    <w:p>
      <w:pPr>
        <w:pStyle w:val="Normal"/>
        <w:ind w:firstLine="240" w:end="0"/>
        <w:rPr/>
      </w:pPr>
      <w:r>
        <w:rPr/>
        <w:t xml:space="preserve">Unless the prearranged replacement shipper is paying the maximum rate, bidding is necessary to ensure that the shipper who values the capacity the most receives it. Here, bidding shippers may have demanded less consideration or no consideration at all to take Edison’s capacity. In these circumstances, Edison’s releases were not at the maximum tariff rate, </w:t>
      </w:r>
    </w:p>
    <w:p>
      <w:pPr>
        <w:pStyle w:val="Normal"/>
        <w:ind w:firstLine="240" w:end="0"/>
        <w:rPr/>
      </w:pPr>
      <w:r>
        <w:rPr/>
        <w:t xml:space="preserve"> </w:t>
      </w:r>
    </w:p>
    <w:p>
      <w:pPr>
        <w:pStyle w:val="Normal"/>
        <w:rPr>
          <w:b/>
          <w:bCs/>
        </w:rPr>
      </w:pPr>
      <w:r>
        <w:rPr>
          <w:b/>
          <w:bCs/>
        </w:rPr>
        <w:t>[61,875]</w:t>
      </w:r>
    </w:p>
    <w:p>
      <w:pPr>
        <w:pStyle w:val="Normal"/>
        <w:rPr/>
      </w:pPr>
      <w:r>
        <w:rPr/>
        <w:t xml:space="preserve"> </w:t>
      </w:r>
    </w:p>
    <w:p>
      <w:pPr>
        <w:pStyle w:val="Normal"/>
        <w:rPr/>
      </w:pPr>
      <w:r>
        <w:rPr/>
        <w:t xml:space="preserve">and PGT and Edison should have posted the releases for bidding under the Commission’s regulations. </w:t>
      </w:r>
      <w:r>
        <w:rPr>
          <w:vertAlign w:val="superscript"/>
        </w:rPr>
        <w:t>6</w:t>
      </w:r>
    </w:p>
    <w:p>
      <w:pPr>
        <w:pStyle w:val="Normal"/>
        <w:rPr/>
      </w:pPr>
      <w:r>
        <w:rPr/>
        <w:t xml:space="preserve"> </w:t>
      </w:r>
    </w:p>
    <w:p>
      <w:pPr>
        <w:pStyle w:val="Normal"/>
        <w:ind w:firstLine="240" w:end="0"/>
        <w:rPr/>
      </w:pPr>
      <w:r>
        <w:rPr/>
        <w:t xml:space="preserve">The Commission has not previously addressed the specific issue of whether consideration paid constitutes a discount for purposes of bidding under capacity release. Thus, given the particular circumstances of this case, we believe the public interest in market stability outweighs the need for reposting the five releases for bid. </w:t>
      </w:r>
      <w:r>
        <w:rPr>
          <w:i/>
          <w:iCs/>
        </w:rPr>
        <w:t>See</w:t>
      </w:r>
      <w:r>
        <w:rPr/>
        <w:t xml:space="preserve"> </w:t>
      </w:r>
      <w:r>
        <w:rPr>
          <w:i/>
          <w:iCs/>
        </w:rPr>
        <w:t>Pan-Alberta Gas (U.S.) Inc.</w:t>
      </w:r>
      <w:r>
        <w:rPr/>
        <w:t xml:space="preserve">, 72 FERC ¶61,092 (1995), </w:t>
      </w:r>
      <w:r>
        <w:rPr>
          <w:i/>
          <w:iCs/>
        </w:rPr>
        <w:t>reh’g denied</w:t>
      </w:r>
      <w:r>
        <w:rPr/>
        <w:t>, 75 FERC ¶61,049 (1996). Although the Commission will not require that Edison and PGT set aside or repost the five releases for bid, within 20 days of the date of this order, Edison and PGT must post the amount of consideration Edison paid to each of the seven prearranged shippers. Such posting will make public the information that should have been revealed when the capacity was released.</w:t>
      </w:r>
    </w:p>
    <w:p>
      <w:pPr>
        <w:pStyle w:val="Normal"/>
        <w:ind w:firstLine="240" w:end="0"/>
        <w:rPr/>
      </w:pPr>
      <w:r>
        <w:rPr/>
        <w:t xml:space="preserve"> </w:t>
      </w:r>
    </w:p>
    <w:p>
      <w:pPr>
        <w:pStyle w:val="Normal"/>
        <w:ind w:firstLine="240" w:end="0"/>
        <w:rPr/>
      </w:pPr>
      <w:r>
        <w:rPr/>
        <w:t>For each replacement shipper, Edison and PGT must post the consideration Edison paid for the PGT capacity segment. To the extent that the amount paid for PGT capacity cannot be determined because it is an undefined portion of the amount paid for a combined transaction including PGT and Canadian capacity, the gross amount shall be posted.</w:t>
      </w:r>
    </w:p>
    <w:p>
      <w:pPr>
        <w:pStyle w:val="Normal"/>
        <w:ind w:firstLine="240" w:end="0"/>
        <w:rPr/>
      </w:pPr>
      <w:r>
        <w:rPr/>
        <w:t xml:space="preserve"> </w:t>
      </w:r>
    </w:p>
    <w:p>
      <w:pPr>
        <w:pStyle w:val="Normal"/>
        <w:rPr/>
      </w:pPr>
      <w:r>
        <w:rPr>
          <w:i/>
          <w:iCs/>
        </w:rPr>
        <w:t>The Commission orders</w:t>
      </w:r>
      <w:r>
        <w:rPr/>
        <w:t>:</w:t>
      </w:r>
    </w:p>
    <w:p>
      <w:pPr>
        <w:pStyle w:val="Normal"/>
        <w:rPr/>
      </w:pPr>
      <w:r>
        <w:rPr/>
        <w:t xml:space="preserve"> </w:t>
      </w:r>
    </w:p>
    <w:p>
      <w:pPr>
        <w:pStyle w:val="Normal"/>
        <w:ind w:firstLine="240" w:end="0"/>
        <w:rPr/>
      </w:pPr>
      <w:r>
        <w:rPr/>
        <w:t>Within 20 days of the issuance of this order, PGT and Edison shall post a notice on PGT’s electronic bulletin board stating the amount of consideration paid by Edison to each of the following seven replacement shippers:</w:t>
      </w:r>
    </w:p>
    <w:p>
      <w:pPr>
        <w:pStyle w:val="Normal"/>
        <w:ind w:firstLine="240" w:end="0"/>
        <w:rPr/>
      </w:pPr>
      <w:r>
        <w:rPr/>
        <w:t xml:space="preserve"> </w:t>
      </w:r>
    </w:p>
    <w:p>
      <w:pPr>
        <w:pStyle w:val="Normal"/>
        <w:ind w:firstLine="240" w:end="0"/>
        <w:rPr/>
      </w:pPr>
      <w:r>
        <w:rPr/>
        <w:t>1. Husky Oil Operations Ltd. and Husky Gas Marketing Inc.;</w:t>
      </w:r>
    </w:p>
    <w:p>
      <w:pPr>
        <w:pStyle w:val="Normal"/>
        <w:ind w:firstLine="240" w:end="0"/>
        <w:rPr/>
      </w:pPr>
      <w:r>
        <w:rPr/>
        <w:t xml:space="preserve"> </w:t>
      </w:r>
    </w:p>
    <w:p>
      <w:pPr>
        <w:pStyle w:val="Normal"/>
        <w:ind w:firstLine="240" w:end="0"/>
        <w:rPr/>
      </w:pPr>
      <w:r>
        <w:rPr/>
        <w:t>2. Poco Petroleums Inc.;</w:t>
      </w:r>
    </w:p>
    <w:p>
      <w:pPr>
        <w:pStyle w:val="Normal"/>
        <w:ind w:firstLine="240" w:end="0"/>
        <w:rPr/>
      </w:pPr>
      <w:r>
        <w:rPr/>
        <w:t xml:space="preserve"> </w:t>
      </w:r>
    </w:p>
    <w:p>
      <w:pPr>
        <w:pStyle w:val="Normal"/>
        <w:ind w:firstLine="240" w:end="0"/>
        <w:rPr/>
      </w:pPr>
      <w:r>
        <w:rPr/>
        <w:t>3. Union Pacific Resources Inc. and Union Pacific Fuels Inc.;</w:t>
      </w:r>
    </w:p>
    <w:p>
      <w:pPr>
        <w:pStyle w:val="Normal"/>
        <w:ind w:firstLine="240" w:end="0"/>
        <w:rPr/>
      </w:pPr>
      <w:r>
        <w:rPr/>
        <w:t xml:space="preserve"> </w:t>
      </w:r>
    </w:p>
    <w:p>
      <w:pPr>
        <w:pStyle w:val="Normal"/>
        <w:ind w:firstLine="240" w:end="0"/>
        <w:rPr/>
      </w:pPr>
      <w:r>
        <w:rPr/>
        <w:t>4. Enron Capital &amp; Trade Resources Corp. and Enron Capital &amp; Trade Resources Canada Corp.;</w:t>
      </w:r>
    </w:p>
    <w:p>
      <w:pPr>
        <w:pStyle w:val="Normal"/>
        <w:ind w:firstLine="240" w:end="0"/>
        <w:rPr/>
      </w:pPr>
      <w:r>
        <w:rPr/>
        <w:t xml:space="preserve"> </w:t>
      </w:r>
    </w:p>
    <w:p>
      <w:pPr>
        <w:pStyle w:val="Normal"/>
        <w:ind w:firstLine="240" w:end="0"/>
        <w:rPr/>
      </w:pPr>
      <w:r>
        <w:rPr/>
        <w:t xml:space="preserve">5. AEC Marketing (USA) Inc.; </w:t>
      </w:r>
    </w:p>
    <w:p>
      <w:pPr>
        <w:pStyle w:val="Normal"/>
        <w:ind w:firstLine="240" w:end="0"/>
        <w:rPr/>
      </w:pPr>
      <w:r>
        <w:rPr/>
        <w:t xml:space="preserve"> </w:t>
      </w:r>
    </w:p>
    <w:p>
      <w:pPr>
        <w:pStyle w:val="Normal"/>
        <w:ind w:firstLine="240" w:end="0"/>
        <w:rPr/>
      </w:pPr>
      <w:r>
        <w:rPr/>
        <w:t>6. Stampeder Energy (U.S.) Inc. and Stampeder Energy, a division of Stampeder Exploration Ltd.; and</w:t>
      </w:r>
    </w:p>
    <w:p>
      <w:pPr>
        <w:pStyle w:val="Normal"/>
        <w:ind w:firstLine="240" w:end="0"/>
        <w:rPr/>
      </w:pPr>
      <w:r>
        <w:rPr/>
        <w:t xml:space="preserve"> </w:t>
      </w:r>
    </w:p>
    <w:p>
      <w:pPr>
        <w:pStyle w:val="Normal"/>
        <w:ind w:firstLine="240" w:end="0"/>
        <w:rPr/>
      </w:pPr>
      <w:r>
        <w:rPr/>
        <w:t>7. American Hunter Energy, Inc.</w:t>
      </w:r>
    </w:p>
    <w:p>
      <w:pPr>
        <w:pStyle w:val="Normal"/>
        <w:ind w:firstLine="240" w:end="0"/>
        <w:rPr/>
      </w:pPr>
      <w:r>
        <w:rPr/>
        <w:t xml:space="preserve"> </w:t>
      </w:r>
    </w:p>
    <w:p>
      <w:pPr>
        <w:pStyle w:val="Normal"/>
        <w:rPr/>
      </w:pPr>
      <w:r>
        <w:rPr/>
        <w:t>For each replacement shipper, Edison and PGT must post the consideration paid for the PGT capacity segment. To the extent that the amount paid for PGT capacity cannot be determined because it is an undefined portion of the amount paid for a combined transaction including PGT and Canadian capacity, the gross amount shall be posted.</w:t>
      </w:r>
    </w:p>
    <w:p>
      <w:pPr>
        <w:pStyle w:val="Normal"/>
        <w:rPr/>
      </w:pPr>
      <w:r>
        <w:rPr/>
        <w:t xml:space="preserve"> </w:t>
      </w:r>
    </w:p>
    <w:p>
      <w:pPr>
        <w:pStyle w:val="Normal"/>
        <w:ind w:end="-20000"/>
        <w:rPr>
          <w:rFonts w:ascii="Courier New" w:hAnsi="Courier New" w:eastAsia="Courier New" w:cs="Courier New"/>
        </w:rPr>
      </w:pPr>
      <w:r>
        <w:rPr>
          <w:rFonts w:eastAsia="Courier New" w:cs="Courier New" w:ascii="Courier New" w:hAnsi="Courier New"/>
        </w:rPr>
        <w:t xml:space="preserve"> </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Appendix A</w:t>
      </w:r>
    </w:p>
    <w:p>
      <w:pPr>
        <w:pStyle w:val="Normal"/>
        <w:ind w:end="-20000"/>
        <w:rPr>
          <w:rFonts w:ascii="Courier New" w:hAnsi="Courier New" w:eastAsia="Courier New" w:cs="Courier New"/>
        </w:rPr>
      </w:pPr>
      <w:r>
        <w:rPr>
          <w:rFonts w:eastAsia="Courier New" w:cs="Courier New" w:ascii="Courier New" w:hAnsi="Courier New"/>
        </w:rPr>
        <w:t xml:space="preserve"> </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Price</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(Max.                Notice  Effec-</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Tariff               Posting   tive</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Volume    Rate)  Rec.   Del.    Date    Date</w:t>
      </w:r>
    </w:p>
    <w:p>
      <w:pPr>
        <w:pStyle w:val="Normal"/>
        <w:ind w:end="-20000"/>
        <w:rPr>
          <w:rFonts w:ascii="Courier New" w:hAnsi="Courier New" w:eastAsia="Courier New" w:cs="Courier New"/>
        </w:rPr>
      </w:pPr>
      <w:r>
        <w:rPr>
          <w:rFonts w:eastAsia="Courier New" w:cs="Courier New" w:ascii="Courier New" w:hAnsi="Courier New"/>
        </w:rPr>
        <w:t>Name of Replacement Shipper</w:t>
      </w:r>
    </w:p>
    <w:p>
      <w:pPr>
        <w:pStyle w:val="Normal"/>
        <w:ind w:end="-20000"/>
        <w:rPr>
          <w:rFonts w:ascii="Courier New" w:hAnsi="Courier New" w:eastAsia="Courier New" w:cs="Courier New"/>
        </w:rPr>
      </w:pPr>
      <w:r>
        <w:rPr>
          <w:rFonts w:eastAsia="Courier New" w:cs="Courier New" w:ascii="Courier New" w:hAnsi="Courier New"/>
        </w:rPr>
        <w:t>---------------------------  (Dth/day) Dth-Mo. Point  Point  (1997)  (1997)</w:t>
      </w:r>
    </w:p>
    <w:p>
      <w:pPr>
        <w:pStyle w:val="Normal"/>
        <w:ind w:end="-20000"/>
        <w:rPr>
          <w:rFonts w:ascii="Courier New" w:hAnsi="Courier New" w:eastAsia="Courier New" w:cs="Courier New"/>
        </w:rPr>
      </w:pPr>
      <w:r>
        <w:rPr>
          <w:rFonts w:eastAsia="Courier New" w:cs="Courier New" w:ascii="Courier New" w:hAnsi="Courier New"/>
        </w:rPr>
        <w:t xml:space="preserve"> </w:t>
      </w:r>
    </w:p>
    <w:p>
      <w:pPr>
        <w:pStyle w:val="Normal"/>
        <w:ind w:end="-20000"/>
        <w:rPr>
          <w:rFonts w:ascii="Courier New" w:hAnsi="Courier New" w:eastAsia="Courier New" w:cs="Courier New"/>
        </w:rPr>
      </w:pPr>
      <w:r>
        <w:rPr>
          <w:rFonts w:eastAsia="Courier New" w:cs="Courier New" w:ascii="Courier New" w:hAnsi="Courier New"/>
        </w:rPr>
        <w:t>Husky Oil Operations Ltd.      11624    $9.98  Kings- Malin June 29   July 1</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and Husky Gas Marketing                      gate</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Inc.</w:t>
      </w:r>
    </w:p>
    <w:p>
      <w:pPr>
        <w:pStyle w:val="Normal"/>
        <w:ind w:end="-20000"/>
        <w:rPr>
          <w:rFonts w:ascii="Courier New" w:hAnsi="Courier New" w:eastAsia="Courier New" w:cs="Courier New"/>
        </w:rPr>
      </w:pPr>
      <w:r>
        <w:rPr>
          <w:rFonts w:eastAsia="Courier New" w:cs="Courier New" w:ascii="Courier New" w:hAnsi="Courier New"/>
        </w:rPr>
        <w:t>Poco Petroleums Inc.           38125    $9.98  Kings- Malin June 29   July 1</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gate</w:t>
      </w:r>
    </w:p>
    <w:p>
      <w:pPr>
        <w:pStyle w:val="Normal"/>
        <w:ind w:end="-20000"/>
        <w:rPr>
          <w:rFonts w:ascii="Courier New" w:hAnsi="Courier New" w:eastAsia="Courier New" w:cs="Courier New"/>
        </w:rPr>
      </w:pPr>
      <w:r>
        <w:rPr>
          <w:rFonts w:eastAsia="Courier New" w:cs="Courier New" w:ascii="Courier New" w:hAnsi="Courier New"/>
        </w:rPr>
        <w:t>Union Pacific Resources        25000    $9.98  Kings- Malin June 29   July 1</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Inc. and Union Pacific                       gate</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Fuels Inc.</w:t>
      </w:r>
    </w:p>
    <w:p>
      <w:pPr>
        <w:pStyle w:val="Normal"/>
        <w:ind w:end="-20000"/>
        <w:rPr>
          <w:rFonts w:ascii="Courier New" w:hAnsi="Courier New" w:eastAsia="Courier New" w:cs="Courier New"/>
        </w:rPr>
      </w:pPr>
      <w:r>
        <w:rPr>
          <w:rFonts w:eastAsia="Courier New" w:cs="Courier New" w:ascii="Courier New" w:hAnsi="Courier New"/>
        </w:rPr>
        <w:t>Enron Capital &amp; Trade          67500    $9.98  Kings- Malin June 27   July 1</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Resources Corp. and Enron                    gate</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Capital &amp; Trade Resources</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Canada Corp.</w:t>
      </w:r>
    </w:p>
    <w:p>
      <w:pPr>
        <w:pStyle w:val="Normal"/>
        <w:ind w:end="-20000"/>
        <w:rPr>
          <w:rFonts w:ascii="Courier New" w:hAnsi="Courier New" w:eastAsia="Courier New" w:cs="Courier New"/>
        </w:rPr>
      </w:pPr>
      <w:r>
        <w:rPr>
          <w:rFonts w:eastAsia="Courier New" w:cs="Courier New" w:ascii="Courier New" w:hAnsi="Courier New"/>
        </w:rPr>
        <w:t>AEC Marketing (USA) Inc.       30000    $9.98  Kings- Malin June 27   July 1</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gate</w:t>
      </w:r>
    </w:p>
    <w:p>
      <w:pPr>
        <w:pStyle w:val="Normal"/>
        <w:ind w:end="-20000"/>
        <w:rPr>
          <w:rFonts w:ascii="Courier New" w:hAnsi="Courier New" w:eastAsia="Courier New" w:cs="Courier New"/>
        </w:rPr>
      </w:pPr>
      <w:r>
        <w:rPr>
          <w:rFonts w:eastAsia="Courier New" w:cs="Courier New" w:ascii="Courier New" w:hAnsi="Courier New"/>
        </w:rPr>
        <w:t>American Hunter Energy,        19438    $9.98  Kings- Malin Oct. 28   Nov. 1</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Inc.                                         gate</w:t>
      </w:r>
    </w:p>
    <w:p>
      <w:pPr>
        <w:pStyle w:val="Normal"/>
        <w:ind w:end="-20000"/>
        <w:rPr>
          <w:rFonts w:ascii="Courier New" w:hAnsi="Courier New" w:eastAsia="Courier New" w:cs="Courier New"/>
        </w:rPr>
      </w:pPr>
      <w:r>
        <w:rPr>
          <w:rFonts w:eastAsia="Courier New" w:cs="Courier New" w:ascii="Courier New" w:hAnsi="Courier New"/>
        </w:rPr>
        <w:t>Stampeder Energy (U.S.)        10000    $9.98  Kings- Malin Sept. 17  Nov. 1</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Inc. and Stampeder                           gate         and Oct.</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Energy, a division of                                     28</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Stampeder Exploration</w:t>
      </w:r>
    </w:p>
    <w:p>
      <w:pPr>
        <w:pStyle w:val="Normal"/>
        <w:ind w:end="-20000"/>
        <w:rPr>
          <w:rFonts w:ascii="Courier New" w:hAnsi="Courier New" w:eastAsia="Courier New" w:cs="Courier New"/>
        </w:rPr>
      </w:pPr>
      <w:r>
        <w:rPr>
          <w:rFonts w:eastAsia="Courier New" w:cs="Courier New" w:ascii="Courier New" w:hAnsi="Courier New"/>
        </w:rPr>
        <w:t xml:space="preserve">  </w:t>
      </w:r>
      <w:r>
        <w:rPr>
          <w:rFonts w:eastAsia="Courier New" w:cs="Courier New" w:ascii="Courier New" w:hAnsi="Courier New"/>
        </w:rPr>
        <w:t>Ltd.</w:t>
      </w:r>
    </w:p>
    <w:p>
      <w:pPr>
        <w:pStyle w:val="Normal"/>
        <w:rPr/>
      </w:pPr>
      <w:r>
        <w:rPr/>
        <w:t xml:space="preserve"> </w:t>
      </w:r>
    </w:p>
    <w:p>
      <w:pPr>
        <w:pStyle w:val="Normal"/>
        <w:jc w:val="center"/>
        <w:rPr>
          <w:b/>
          <w:bCs/>
        </w:rPr>
      </w:pPr>
      <w:r>
        <w:rPr>
          <w:b/>
          <w:bCs/>
        </w:rPr>
        <w:t>-- Footnotes --</w:t>
      </w:r>
    </w:p>
    <w:p>
      <w:pPr>
        <w:pStyle w:val="Normal"/>
        <w:rPr/>
      </w:pPr>
      <w:r>
        <w:rPr/>
        <w:t xml:space="preserve"> </w:t>
      </w:r>
    </w:p>
    <w:p>
      <w:pPr>
        <w:pStyle w:val="Normal"/>
        <w:rPr>
          <w:b/>
          <w:bCs/>
        </w:rPr>
      </w:pPr>
      <w:r>
        <w:rPr>
          <w:b/>
          <w:bCs/>
        </w:rPr>
        <w:t>[61,874]</w:t>
      </w:r>
    </w:p>
    <w:p>
      <w:pPr>
        <w:pStyle w:val="Normal"/>
        <w:rPr/>
      </w:pPr>
      <w:r>
        <w:rPr/>
        <w:t xml:space="preserve"> </w:t>
      </w:r>
    </w:p>
    <w:p>
      <w:pPr>
        <w:pStyle w:val="Normal"/>
        <w:rPr/>
      </w:pPr>
      <w:r>
        <w:rPr>
          <w:vertAlign w:val="superscript"/>
        </w:rPr>
        <w:t>1</w:t>
      </w:r>
      <w:r>
        <w:rPr/>
        <w:t xml:space="preserve"> </w:t>
      </w:r>
      <w:r>
        <w:rPr>
          <w:i/>
          <w:iCs/>
        </w:rPr>
        <w:t>FERC Statutes and Regulations, Regulations Preambles January 1991-June 1996</w:t>
      </w:r>
      <w:r>
        <w:rPr/>
        <w:t xml:space="preserve"> ¶30,950, at p. 30,555 (1992).</w:t>
      </w:r>
    </w:p>
    <w:p>
      <w:pPr>
        <w:pStyle w:val="Normal"/>
        <w:rPr/>
      </w:pPr>
      <w:r>
        <w:rPr/>
        <w:t xml:space="preserve"> </w:t>
      </w:r>
    </w:p>
    <w:p>
      <w:pPr>
        <w:pStyle w:val="Normal"/>
        <w:rPr/>
      </w:pPr>
      <w:r>
        <w:rPr>
          <w:vertAlign w:val="superscript"/>
        </w:rPr>
        <w:t>2</w:t>
      </w:r>
      <w:r>
        <w:rPr/>
        <w:t xml:space="preserve"> </w:t>
      </w:r>
      <w:r>
        <w:rPr>
          <w:i/>
          <w:iCs/>
        </w:rPr>
        <w:t>United Distribution Companies v. FERC</w:t>
      </w:r>
      <w:r>
        <w:rPr/>
        <w:t xml:space="preserve">, 88 F.3d 1105 at 1159 (D.C. Cir. 1996), </w:t>
      </w:r>
      <w:r>
        <w:rPr>
          <w:i/>
          <w:iCs/>
        </w:rPr>
        <w:t>cert. denied</w:t>
      </w:r>
      <w:r>
        <w:rPr/>
        <w:t>, 117 S. Ct. 1723 (1997).</w:t>
      </w:r>
    </w:p>
    <w:p>
      <w:pPr>
        <w:pStyle w:val="Normal"/>
        <w:rPr/>
      </w:pPr>
      <w:r>
        <w:rPr/>
        <w:t xml:space="preserve"> </w:t>
      </w:r>
    </w:p>
    <w:p>
      <w:pPr>
        <w:pStyle w:val="Normal"/>
        <w:rPr/>
      </w:pPr>
      <w:r>
        <w:rPr>
          <w:vertAlign w:val="superscript"/>
        </w:rPr>
        <w:t>3</w:t>
      </w:r>
      <w:r>
        <w:rPr/>
        <w:t xml:space="preserve"> </w:t>
      </w:r>
      <w:r>
        <w:rPr>
          <w:i/>
          <w:iCs/>
        </w:rPr>
        <w:t>FERC Statutes and Regulations, Regulations Preambles January 1991-June 1996</w:t>
      </w:r>
      <w:r>
        <w:rPr/>
        <w:t xml:space="preserve"> ¶30,950, at p. 30,559 (1992).</w:t>
      </w:r>
    </w:p>
    <w:p>
      <w:pPr>
        <w:pStyle w:val="Normal"/>
        <w:rPr/>
      </w:pPr>
      <w:r>
        <w:rPr/>
        <w:t xml:space="preserve"> </w:t>
      </w:r>
    </w:p>
    <w:p>
      <w:pPr>
        <w:pStyle w:val="Normal"/>
        <w:rPr/>
      </w:pPr>
      <w:r>
        <w:rPr>
          <w:vertAlign w:val="superscript"/>
        </w:rPr>
        <w:t>4</w:t>
      </w:r>
      <w:r>
        <w:rPr/>
        <w:t xml:space="preserve"> Order No. 636-B, 61 FERC ¶61,272, at p. 61,994 (1992).</w:t>
      </w:r>
    </w:p>
    <w:p>
      <w:pPr>
        <w:pStyle w:val="Normal"/>
        <w:rPr/>
      </w:pPr>
      <w:r>
        <w:rPr/>
        <w:t xml:space="preserve"> </w:t>
      </w:r>
    </w:p>
    <w:p>
      <w:pPr>
        <w:pStyle w:val="Normal"/>
        <w:rPr/>
      </w:pPr>
      <w:r>
        <w:rPr>
          <w:vertAlign w:val="superscript"/>
        </w:rPr>
        <w:t>5</w:t>
      </w:r>
      <w:r>
        <w:rPr/>
        <w:t xml:space="preserve"> A pipeline may be entitled to the maximum rate from the releasing shipper no matter how little a replacement shipper is willing to contribute. Here, for example, the contract between Edison and PGT calls for Edison to pay the FTS-1 tariff rate. Therefore, no matter what the circumstances of the release, PGT must receive (from the replacement shipper and/or Edison) the maximum FTS-1 tariff rate for the capacity.</w:t>
      </w:r>
    </w:p>
    <w:p>
      <w:pPr>
        <w:pStyle w:val="Normal"/>
        <w:rPr/>
      </w:pPr>
      <w:r>
        <w:rPr/>
        <w:t xml:space="preserve"> </w:t>
      </w:r>
    </w:p>
    <w:p>
      <w:pPr>
        <w:pStyle w:val="Normal"/>
        <w:rPr>
          <w:b/>
          <w:bCs/>
        </w:rPr>
      </w:pPr>
      <w:r>
        <w:rPr>
          <w:b/>
          <w:bCs/>
        </w:rPr>
        <w:t>[61,875]</w:t>
      </w:r>
    </w:p>
    <w:p>
      <w:pPr>
        <w:pStyle w:val="Normal"/>
        <w:rPr/>
      </w:pPr>
      <w:r>
        <w:rPr/>
        <w:t xml:space="preserve"> </w:t>
      </w:r>
    </w:p>
    <w:p>
      <w:pPr>
        <w:pStyle w:val="Normal"/>
        <w:rPr/>
      </w:pPr>
      <w:r>
        <w:rPr>
          <w:vertAlign w:val="superscript"/>
        </w:rPr>
        <w:t>6</w:t>
      </w:r>
      <w:r>
        <w:rPr/>
        <w:t xml:space="preserve"> Pipelines are responsible for characterizing capacity release transactions accurately and for observing applicable regulations. PGT should have required that Edison post the releases for bidding. PGT knew that Edison paid consideration to the replacement shippers and, therefore, that Edison did not receive the maximum tariff rate. In </w:t>
      </w:r>
      <w:r>
        <w:rPr>
          <w:i/>
          <w:iCs/>
        </w:rPr>
        <w:t>Florida Gas Transmission Company</w:t>
      </w:r>
      <w:r>
        <w:rPr/>
        <w:t xml:space="preserve">, 64 FERC ¶61,302, at p. 63,210 (1993), the Commission ruled that while a pipeline is not responsible for notices that shippers post directly on the pipeline’s EBB, it (the pipeline) “is liable for the accuracy of notices on the EBB which it either writes itself or compiles from shipper submissions, such as offers to release capacity.” </w:t>
      </w:r>
      <w:r>
        <w:rPr>
          <w:i/>
          <w:iCs/>
        </w:rPr>
        <w:t>See also Avoca Natural Gas Storage</w:t>
      </w:r>
      <w:r>
        <w:rPr/>
        <w:t>, 68 FERC ¶61,045, at pp. 61,156-57 (1994).</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5</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2001-05-21T19:57:00Z</dcterms:created>
  <dc:creator>Bracewell &amp; Patterson, LLP</dc:creator>
  <dc:description/>
  <dc:language>en-CA</dc:language>
  <cp:lastModifiedBy>Bracewell &amp; Patterson, LLP</cp:lastModifiedBy>
  <dcterms:modified xsi:type="dcterms:W3CDTF">2001-05-21T19:58:00Z</dcterms:modified>
  <cp:revision>1</cp:revision>
  <dc:subject/>
  <dc:title>COMM-OPINION-ORDER, 82 FERC 61,227, Pacific Gas Transmission Company and Southern California Edison Company, Docket No</dc:title>
</cp:coreProperties>
</file>