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6"/>
          <w:szCs w:val="26"/>
        </w:rPr>
      </w:pPr>
      <w:r>
        <w:rPr>
          <w:sz w:val="26"/>
          <w:szCs w:val="26"/>
        </w:rPr>
        <w:t>UNITED STATES OF AMERICA 97 FERC ¶ 61,009</w:t>
      </w:r>
    </w:p>
    <w:p>
      <w:pPr>
        <w:pStyle w:val="Normal"/>
        <w:widowControl/>
        <w:jc w:val="center"/>
        <w:rPr>
          <w:sz w:val="26"/>
          <w:szCs w:val="26"/>
        </w:rPr>
      </w:pPr>
      <w:r>
        <w:rPr>
          <w:sz w:val="26"/>
          <w:szCs w:val="26"/>
        </w:rPr>
        <w:t>FEDERAL ENERGY REGULATORY COMMISSION</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t>Before Commissioners: Pat Wood, III, Chairman;</w:t>
      </w:r>
    </w:p>
    <w:p>
      <w:pPr>
        <w:pStyle w:val="Normal"/>
        <w:widowControl/>
        <w:ind w:firstLine="2160" w:end="0"/>
        <w:rPr>
          <w:sz w:val="26"/>
          <w:szCs w:val="26"/>
        </w:rPr>
      </w:pPr>
      <w:r>
        <w:rPr>
          <w:sz w:val="26"/>
          <w:szCs w:val="26"/>
        </w:rPr>
        <w:t xml:space="preserve">     </w:t>
      </w:r>
      <w:r>
        <w:rPr>
          <w:sz w:val="26"/>
          <w:szCs w:val="26"/>
        </w:rPr>
        <w:t>William L. Massey, Linda Breathitt,</w:t>
      </w:r>
    </w:p>
    <w:p>
      <w:pPr>
        <w:pStyle w:val="Normal"/>
        <w:widowControl/>
        <w:ind w:firstLine="2160" w:end="0"/>
        <w:rPr>
          <w:sz w:val="26"/>
          <w:szCs w:val="26"/>
        </w:rPr>
      </w:pPr>
      <w:r>
        <w:rPr>
          <w:sz w:val="26"/>
          <w:szCs w:val="26"/>
        </w:rPr>
        <w:t xml:space="preserve">     </w:t>
      </w:r>
      <w:r>
        <w:rPr>
          <w:sz w:val="26"/>
          <w:szCs w:val="26"/>
        </w:rPr>
        <w:t>and Nora Mead Brownell.</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tabs>
          <w:tab w:val="clear" w:pos="720"/>
          <w:tab w:val="left" w:pos="-1440" w:leader="none"/>
        </w:tabs>
        <w:ind w:hanging="5760" w:start="5760" w:end="0"/>
        <w:rPr>
          <w:sz w:val="26"/>
          <w:szCs w:val="26"/>
        </w:rPr>
      </w:pPr>
      <w:r>
        <w:rPr>
          <w:sz w:val="26"/>
          <w:szCs w:val="26"/>
        </w:rPr>
        <w:t xml:space="preserve">Exelon Corporation </w:t>
        <w:tab/>
        <w:tab/>
        <w:tab/>
        <w:tab/>
        <w:tab/>
        <w:tab/>
        <w:t>Docket No. IN01-7-000</w:t>
      </w:r>
    </w:p>
    <w:p>
      <w:pPr>
        <w:pStyle w:val="Normal"/>
        <w:widowControl/>
        <w:tabs>
          <w:tab w:val="clear" w:pos="720"/>
          <w:tab w:val="left" w:pos="-1440" w:leader="none"/>
        </w:tabs>
        <w:ind w:hanging="4320" w:start="4320" w:end="0"/>
        <w:rPr>
          <w:sz w:val="26"/>
          <w:szCs w:val="26"/>
        </w:rPr>
      </w:pPr>
      <w:r>
        <w:rPr>
          <w:sz w:val="26"/>
          <w:szCs w:val="26"/>
        </w:rPr>
        <w:t xml:space="preserve">PECO Energy Company </w:t>
        <w:tab/>
        <w:tab/>
        <w:tab/>
        <w:tab/>
        <w:tab/>
      </w:r>
    </w:p>
    <w:p>
      <w:pPr>
        <w:pStyle w:val="Normal"/>
        <w:widowControl/>
        <w:ind w:hanging="720" w:start="720" w:end="0"/>
        <w:rPr>
          <w:sz w:val="26"/>
          <w:szCs w:val="26"/>
        </w:rPr>
      </w:pPr>
      <w:r>
        <w:rPr>
          <w:sz w:val="26"/>
          <w:szCs w:val="26"/>
        </w:rPr>
        <w:t>Exelon Generation Company, L.L.C.</w:t>
        <w:tab/>
      </w:r>
    </w:p>
    <w:p>
      <w:pPr>
        <w:pStyle w:val="Normal"/>
        <w:widowControl/>
        <w:tabs>
          <w:tab w:val="clear" w:pos="720"/>
          <w:tab w:val="left" w:pos="-1440" w:leader="none"/>
        </w:tabs>
        <w:ind w:hanging="3600" w:start="4320" w:end="0"/>
        <w:rPr>
          <w:sz w:val="26"/>
          <w:szCs w:val="26"/>
        </w:rPr>
      </w:pPr>
      <w:r>
        <w:rPr>
          <w:sz w:val="26"/>
          <w:szCs w:val="26"/>
        </w:rPr>
        <w:t>Exelon Power Team</w:t>
        <w:tab/>
        <w:tab/>
        <w:tab/>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jc w:val="center"/>
        <w:rPr>
          <w:sz w:val="26"/>
          <w:szCs w:val="26"/>
        </w:rPr>
      </w:pPr>
      <w:r>
        <w:rPr>
          <w:sz w:val="26"/>
          <w:szCs w:val="26"/>
        </w:rPr>
        <w:t xml:space="preserve">SHOW CAUSE ORDER </w:t>
      </w:r>
    </w:p>
    <w:p>
      <w:pPr>
        <w:pStyle w:val="Normal"/>
        <w:widowControl/>
        <w:rPr>
          <w:sz w:val="26"/>
          <w:szCs w:val="26"/>
        </w:rPr>
      </w:pPr>
      <w:r>
        <w:rPr>
          <w:sz w:val="26"/>
          <w:szCs w:val="26"/>
        </w:rPr>
      </w:r>
    </w:p>
    <w:p>
      <w:pPr>
        <w:pStyle w:val="Normal"/>
        <w:widowControl/>
        <w:jc w:val="center"/>
        <w:rPr>
          <w:sz w:val="26"/>
          <w:szCs w:val="26"/>
        </w:rPr>
      </w:pPr>
      <w:r>
        <w:rPr>
          <w:sz w:val="26"/>
          <w:szCs w:val="26"/>
        </w:rPr>
        <w:t>(Issued October 3, 2001)</w:t>
      </w:r>
    </w:p>
    <w:p>
      <w:pPr>
        <w:pStyle w:val="Normal"/>
        <w:widowControl/>
        <w:rPr>
          <w:sz w:val="26"/>
          <w:szCs w:val="26"/>
        </w:rPr>
      </w:pPr>
      <w:r>
        <w:rPr>
          <w:sz w:val="26"/>
          <w:szCs w:val="26"/>
        </w:rPr>
      </w:r>
    </w:p>
    <w:p>
      <w:pPr>
        <w:pStyle w:val="Normal"/>
        <w:widowControl/>
        <w:ind w:firstLine="720" w:end="0"/>
        <w:rPr/>
      </w:pPr>
      <w:r>
        <w:rPr>
          <w:sz w:val="26"/>
          <w:szCs w:val="26"/>
        </w:rPr>
        <w:t>This order directs that Exelon Corporation (Exelon), PECO Energy Company (PECO), a subsidiary of Exelon Corporation, and Exelon Generation Company, L.L.C. (Exelon Generation), a subsidiary of Exelon, and Exelon Power Team (Power Team), a division of Exelon Generation, to show cause whether they violated Section 205(b) of the Federal Power Act (FPA)</w:t>
      </w:r>
      <w:r>
        <w:rPr>
          <w:rStyle w:val="FootnoteCharacters"/>
          <w:rStyle w:val="FootnoteReference"/>
          <w:b/>
          <w:bCs/>
          <w:sz w:val="31"/>
          <w:szCs w:val="31"/>
          <w:vertAlign w:val="superscript"/>
        </w:rPr>
        <w:footnoteReference w:id="2"/>
      </w:r>
      <w:r>
        <w:rPr>
          <w:sz w:val="26"/>
          <w:szCs w:val="26"/>
        </w:rPr>
        <w:t xml:space="preserve"> and the standards of conduct in the Commission's regulations</w:t>
      </w:r>
      <w:r>
        <w:rPr>
          <w:rStyle w:val="FootnoteCharacters"/>
          <w:rStyle w:val="FootnoteReference"/>
          <w:b/>
          <w:bCs/>
          <w:sz w:val="31"/>
          <w:szCs w:val="31"/>
          <w:vertAlign w:val="superscript"/>
        </w:rPr>
        <w:footnoteReference w:id="3"/>
      </w:r>
      <w:r>
        <w:rPr>
          <w:sz w:val="26"/>
          <w:szCs w:val="26"/>
        </w:rPr>
        <w:t xml:space="preserve"> by operating PECO's transmission system in an unduly preferential manner or sharing non-public information regarding the timing and location of maintenance outages in PJM's system or both. </w:t>
      </w:r>
    </w:p>
    <w:p>
      <w:pPr>
        <w:pStyle w:val="Normal"/>
        <w:widowControl/>
        <w:ind w:firstLine="720" w:end="0"/>
        <w:rPr>
          <w:sz w:val="26"/>
          <w:szCs w:val="26"/>
        </w:rPr>
      </w:pPr>
      <w:r>
        <w:rPr>
          <w:sz w:val="26"/>
          <w:szCs w:val="26"/>
        </w:rPr>
      </w:r>
    </w:p>
    <w:p>
      <w:pPr>
        <w:pStyle w:val="Normal"/>
        <w:widowControl/>
        <w:ind w:firstLine="720" w:end="0"/>
        <w:rPr>
          <w:sz w:val="26"/>
          <w:szCs w:val="26"/>
        </w:rPr>
      </w:pPr>
      <w:r>
        <w:rPr>
          <w:sz w:val="26"/>
          <w:szCs w:val="26"/>
        </w:rPr>
        <w:t xml:space="preserve">This order seeks to determine whether PECO operated its transmission system in a manner that benefitted its affiliate, Power Team, and provided Power Team with an information advantage that was not available to any other user on its transmission system.  A non-public investigation has produced evidence that PECO may have operated its transmission system to provide Power Team with additional congestion revenues and provided Power Team with advanced knowledge of where congestion might occur on PJM's transmission system or both.  </w:t>
      </w:r>
    </w:p>
    <w:p>
      <w:pPr>
        <w:pStyle w:val="Normal"/>
        <w:widowControl/>
        <w:rPr>
          <w:sz w:val="26"/>
          <w:szCs w:val="26"/>
        </w:rPr>
      </w:pPr>
      <w:r>
        <w:rPr>
          <w:sz w:val="26"/>
          <w:szCs w:val="26"/>
        </w:rPr>
      </w:r>
    </w:p>
    <w:p>
      <w:pPr>
        <w:sectPr>
          <w:footnotePr>
            <w:numFmt w:val="decimal"/>
          </w:footnote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ind w:firstLine="720" w:end="0"/>
        <w:rPr>
          <w:sz w:val="26"/>
          <w:szCs w:val="26"/>
        </w:rPr>
      </w:pPr>
      <w:r>
        <w:rPr>
          <w:sz w:val="26"/>
          <w:szCs w:val="26"/>
        </w:rPr>
        <w:t>If the allegations are correct, the conduct would be a violation of the Federal Power Act and the Commission's Standards of Conduct.  The standards of conduct are intended to prevent transmission owners from providing wholesale merchant employees or wholesale merchant employees of affiliates with transmission-related information not available to all customers at the same time through public posting on the Open Access Same time Information System (OASIS).</w:t>
      </w:r>
    </w:p>
    <w:p>
      <w:pPr>
        <w:pStyle w:val="Normal"/>
        <w:widowControl/>
        <w:rPr>
          <w:sz w:val="26"/>
          <w:szCs w:val="26"/>
        </w:rPr>
      </w:pPr>
      <w:r>
        <w:rPr>
          <w:sz w:val="26"/>
          <w:szCs w:val="26"/>
        </w:rPr>
      </w:r>
    </w:p>
    <w:p>
      <w:pPr>
        <w:pStyle w:val="Normal"/>
        <w:widowControl/>
        <w:rPr>
          <w:sz w:val="26"/>
          <w:szCs w:val="26"/>
        </w:rPr>
      </w:pPr>
      <w:r>
        <w:rPr>
          <w:b/>
          <w:bCs/>
          <w:sz w:val="26"/>
          <w:szCs w:val="26"/>
        </w:rPr>
        <w:t>I.</w:t>
        <w:tab/>
        <w:t xml:space="preserve">FACTUAL BACKGROUND </w:t>
      </w:r>
    </w:p>
    <w:p>
      <w:pPr>
        <w:pStyle w:val="Normal"/>
        <w:widowControl/>
        <w:rPr>
          <w:sz w:val="26"/>
          <w:szCs w:val="26"/>
        </w:rPr>
      </w:pPr>
      <w:r>
        <w:rPr>
          <w:sz w:val="26"/>
          <w:szCs w:val="26"/>
        </w:rPr>
      </w:r>
    </w:p>
    <w:p>
      <w:pPr>
        <w:pStyle w:val="Normal"/>
        <w:widowControl/>
        <w:ind w:firstLine="720" w:end="0"/>
        <w:rPr/>
      </w:pPr>
      <w:r>
        <w:rPr>
          <w:sz w:val="26"/>
          <w:szCs w:val="26"/>
        </w:rPr>
        <w:t>PECO is an electric utility that owns and operates electric power transmission facilities which are used for the sale of electric energy at wholesale.  PECO’s Open Access Transmission Tariff (OATT) has been approved by the Commission.  Power Team makes sales of electric energy at wholesale in interstate commerce and its parent, Exelon Generation, has been granted market-based rate authority.</w:t>
      </w:r>
      <w:r>
        <w:rPr>
          <w:rStyle w:val="FootnoteCharacters"/>
          <w:rStyle w:val="FootnoteReference"/>
          <w:b/>
          <w:bCs/>
          <w:sz w:val="31"/>
          <w:szCs w:val="31"/>
          <w:vertAlign w:val="superscript"/>
        </w:rPr>
        <w:footnoteReference w:id="4"/>
      </w:r>
      <w:r>
        <w:rPr>
          <w:sz w:val="26"/>
          <w:szCs w:val="26"/>
        </w:rPr>
        <w:t xml:space="preserve">  Exelon Corporation owns PECO, Exelon Generation and Power Team.</w:t>
      </w:r>
    </w:p>
    <w:p>
      <w:pPr>
        <w:pStyle w:val="Normal"/>
        <w:widowControl/>
        <w:rPr>
          <w:sz w:val="26"/>
          <w:szCs w:val="26"/>
        </w:rPr>
      </w:pPr>
      <w:r>
        <w:rPr>
          <w:sz w:val="26"/>
          <w:szCs w:val="26"/>
        </w:rPr>
      </w:r>
    </w:p>
    <w:p>
      <w:pPr>
        <w:pStyle w:val="Normal"/>
        <w:widowControl/>
        <w:ind w:firstLine="720" w:end="0"/>
        <w:rPr/>
      </w:pPr>
      <w:r>
        <w:rPr>
          <w:sz w:val="26"/>
          <w:szCs w:val="26"/>
        </w:rPr>
        <w:t>After receiving a hotline complaint regarding the PJM Interconnection, L.L.C.'s (PJM's) FTR auctions, Commission staff discussed the matter with PJM's Market Monitoring Unit (MMU).  The MMU conducted its investigation and submitted a report to Commission staff.  The MMU requested that its report be deemed non-public under section 1b.9 of the Commission's Rules and Regulations.</w:t>
      </w:r>
      <w:r>
        <w:rPr>
          <w:rStyle w:val="FootnoteCharacters"/>
          <w:rStyle w:val="FootnoteReference"/>
          <w:b/>
          <w:bCs/>
          <w:sz w:val="31"/>
          <w:szCs w:val="31"/>
          <w:vertAlign w:val="superscript"/>
        </w:rPr>
        <w:footnoteReference w:id="5"/>
      </w:r>
      <w:r>
        <w:rPr>
          <w:sz w:val="26"/>
          <w:szCs w:val="26"/>
        </w:rPr>
        <w:t xml:space="preserve">  Staff then conducted a non-public, preliminary investigation which included analysis of data responses from PECO and Power Team and employee interviews.  Staff's investigation examined the time period the MMU reviewed and subsequent activities by PECO and Power Team.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 xml:space="preserve">Power Team was successful in bidding for fixed transmission rights (FTRs) in four FTR auctions in September, October and November 1999 and April 2000.  </w:t>
      </w:r>
      <w:r>
        <w:rPr>
          <w:sz w:val="26"/>
          <w:szCs w:val="26"/>
          <w:lang w:val="en-GB"/>
        </w:rPr>
        <w:t>FTRs provide rights to receive credits against congestion costs that PJM uses to manage transmission congestion.</w:t>
      </w:r>
      <w:r>
        <w:rPr>
          <w:rStyle w:val="FootnoteCharacters"/>
          <w:rStyle w:val="FootnoteReference"/>
          <w:b/>
          <w:bCs/>
          <w:sz w:val="31"/>
          <w:szCs w:val="31"/>
          <w:vertAlign w:val="superscript"/>
          <w:lang w:val="en-GB"/>
        </w:rPr>
        <w:footnoteReference w:id="6"/>
      </w:r>
      <w:r>
        <w:rPr>
          <w:sz w:val="26"/>
          <w:szCs w:val="26"/>
          <w:lang w:val="en-GB"/>
        </w:rPr>
        <w:t xml:space="preserve">  PJM uses a locational marginal pricing methodology that sets the price for transmission service in periods of congestion as the difference between the price of generation at the receipt point, where energy enters the transmission system, and the price of generation at the delivery point, where energy exits the system.</w:t>
      </w:r>
      <w:r>
        <w:rPr>
          <w:rStyle w:val="FootnoteCharacters"/>
          <w:rStyle w:val="FootnoteReference"/>
          <w:b/>
          <w:bCs/>
          <w:sz w:val="31"/>
          <w:szCs w:val="31"/>
          <w:vertAlign w:val="superscript"/>
          <w:lang w:val="en-GB"/>
        </w:rPr>
        <w:footnoteReference w:id="7"/>
      </w:r>
      <w:r>
        <w:rPr>
          <w:sz w:val="26"/>
          <w:szCs w:val="26"/>
          <w:lang w:val="en-GB"/>
        </w:rPr>
        <w:t xml:space="preserve">  Transmission customers purchase FTRs to hedge against these congestion charges.</w:t>
      </w:r>
      <w:r>
        <w:rPr>
          <w:rStyle w:val="FootnoteCharacters"/>
          <w:rStyle w:val="FootnoteReference"/>
          <w:b/>
          <w:bCs/>
          <w:sz w:val="31"/>
          <w:szCs w:val="31"/>
          <w:vertAlign w:val="superscript"/>
          <w:lang w:val="en-GB"/>
        </w:rPr>
        <w:footnoteReference w:id="8"/>
      </w:r>
      <w:r>
        <w:rPr>
          <w:sz w:val="26"/>
          <w:szCs w:val="26"/>
        </w:rPr>
        <w:t xml:space="preserve">   </w:t>
      </w:r>
    </w:p>
    <w:p>
      <w:pPr>
        <w:pStyle w:val="Normal"/>
        <w:widowControl/>
        <w:rPr>
          <w:sz w:val="26"/>
          <w:szCs w:val="26"/>
        </w:rPr>
      </w:pPr>
      <w:r>
        <w:rPr>
          <w:sz w:val="26"/>
          <w:szCs w:val="26"/>
        </w:rPr>
      </w:r>
    </w:p>
    <w:p>
      <w:pPr>
        <w:pStyle w:val="Normal"/>
        <w:widowControl/>
        <w:ind w:firstLine="720" w:end="0"/>
        <w:rPr>
          <w:sz w:val="26"/>
          <w:szCs w:val="26"/>
        </w:rPr>
      </w:pPr>
      <w:r>
        <w:rPr>
          <w:sz w:val="26"/>
          <w:szCs w:val="26"/>
          <w:lang w:val="en-GB"/>
        </w:rPr>
        <w:t>PJM conducts monthly auctions of FTRs.  In April 1999, the Commission accepted PJM's proposal to provide FTRs, with modifications, with an effective date of April 13, 1999.</w:t>
      </w:r>
      <w:r>
        <w:rPr>
          <w:rStyle w:val="FootnoteCharacters"/>
          <w:rStyle w:val="FootnoteReference"/>
          <w:b/>
          <w:bCs/>
          <w:sz w:val="31"/>
          <w:szCs w:val="31"/>
          <w:vertAlign w:val="superscript"/>
          <w:lang w:val="en-GB"/>
        </w:rPr>
        <w:footnoteReference w:id="9"/>
      </w:r>
      <w:r>
        <w:rPr>
          <w:sz w:val="26"/>
          <w:szCs w:val="26"/>
          <w:lang w:val="en-GB"/>
        </w:rPr>
        <w:t xml:space="preserve">  Any transmission customer purchasing Firm Point-to-Point Service receives FTRs corresponding to points of receipt and delivery designated for their firm uses of PJM's transmission system.</w:t>
      </w:r>
      <w:r>
        <w:rPr>
          <w:rStyle w:val="FootnoteCharacters"/>
          <w:rStyle w:val="FootnoteReference"/>
          <w:b/>
          <w:bCs/>
          <w:sz w:val="31"/>
          <w:szCs w:val="31"/>
          <w:vertAlign w:val="superscript"/>
          <w:lang w:val="en-GB"/>
        </w:rPr>
        <w:footnoteReference w:id="10"/>
      </w:r>
      <w:r>
        <w:rPr>
          <w:sz w:val="26"/>
          <w:szCs w:val="26"/>
          <w:lang w:val="en-GB"/>
        </w:rPr>
        <w:t xml:space="preserve">  In addition, FTRs may also be acquired by purchase in the secondary market or in auctions.  The auction is for the calendar month after the date that the auction is conducted.</w:t>
      </w:r>
      <w:r>
        <w:rPr>
          <w:rStyle w:val="FootnoteCharacters"/>
          <w:rStyle w:val="FootnoteReference"/>
          <w:b/>
          <w:bCs/>
          <w:sz w:val="31"/>
          <w:szCs w:val="31"/>
          <w:vertAlign w:val="superscript"/>
          <w:lang w:val="en-GB"/>
        </w:rPr>
        <w:footnoteReference w:id="11"/>
      </w:r>
    </w:p>
    <w:p>
      <w:pPr>
        <w:pStyle w:val="Normal"/>
        <w:widowControl/>
        <w:rPr>
          <w:sz w:val="26"/>
          <w:szCs w:val="26"/>
        </w:rPr>
      </w:pPr>
      <w:r>
        <w:rPr>
          <w:sz w:val="26"/>
          <w:szCs w:val="26"/>
        </w:rPr>
      </w:r>
    </w:p>
    <w:p>
      <w:pPr>
        <w:pStyle w:val="Normal"/>
        <w:widowControl/>
        <w:ind w:firstLine="720" w:end="0"/>
        <w:rPr/>
      </w:pPr>
      <w:r>
        <w:rPr>
          <w:sz w:val="26"/>
          <w:szCs w:val="26"/>
        </w:rPr>
        <w:t>Information acquired during a non-public investigation suggests that PECO may have given Power Team an informational advantage in Power Team's bidding for FTRs.  After the bidding closed in three auctions, September, October and  November 1999, PECO announced maintenance outages on transmission facilities within PJM.  In addition, during October and November 1999, PECO derated certain transmission related facilities within PJM's system.</w:t>
      </w:r>
      <w:r>
        <w:rPr>
          <w:rStyle w:val="FootnoteCharacters"/>
          <w:rStyle w:val="FootnoteReference"/>
          <w:b/>
          <w:bCs/>
          <w:sz w:val="31"/>
          <w:szCs w:val="31"/>
          <w:vertAlign w:val="superscript"/>
        </w:rPr>
        <w:footnoteReference w:id="12"/>
      </w:r>
      <w:r>
        <w:rPr>
          <w:sz w:val="26"/>
          <w:szCs w:val="26"/>
        </w:rPr>
        <w:t xml:space="preserve">  Although derating transmission related facilities is an unusual event, PECO decreased ratings on specific transformers that were affected by maintenance outages.  The maintenance outages and the October and November 1999 deratings caused congestion within PJM that directly resulted in Power Team receiving large returns on its FTRs.</w:t>
      </w:r>
    </w:p>
    <w:p>
      <w:pPr>
        <w:pStyle w:val="Normal"/>
        <w:widowControl/>
        <w:ind w:firstLine="720" w:end="0"/>
        <w:rPr>
          <w:sz w:val="26"/>
          <w:szCs w:val="26"/>
          <w:lang w:val="en-GB"/>
        </w:rPr>
      </w:pPr>
      <w:r>
        <w:rPr>
          <w:sz w:val="26"/>
          <w:szCs w:val="26"/>
          <w:lang w:val="en-GB"/>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lang w:val="en-GB"/>
        </w:rPr>
        <w:t xml:space="preserve">The information acquired during the non-public investigation, upon which this order is based, is described in the Appendix to the order.  </w:t>
      </w:r>
      <w:r>
        <w:rPr>
          <w:sz w:val="26"/>
          <w:szCs w:val="26"/>
        </w:rPr>
        <w:t>This information cannot be publicly disclosed until notice of intent to disclose has been given to the companies from which the information was acquired.  Therefore, as discussed below, the Appendix is non-public until five days after this order issues.</w:t>
      </w:r>
    </w:p>
    <w:p>
      <w:pPr>
        <w:pStyle w:val="Normal"/>
        <w:widowControl/>
        <w:rPr>
          <w:sz w:val="26"/>
          <w:szCs w:val="26"/>
        </w:rPr>
      </w:pPr>
      <w:r>
        <w:rPr>
          <w:sz w:val="26"/>
          <w:szCs w:val="26"/>
        </w:rPr>
      </w:r>
    </w:p>
    <w:p>
      <w:pPr>
        <w:pStyle w:val="Normal"/>
        <w:widowControl/>
        <w:rPr>
          <w:sz w:val="26"/>
          <w:szCs w:val="26"/>
        </w:rPr>
      </w:pPr>
      <w:r>
        <w:rPr>
          <w:b/>
          <w:bCs/>
          <w:sz w:val="26"/>
          <w:szCs w:val="26"/>
        </w:rPr>
        <w:t>II.</w:t>
        <w:tab/>
        <w:t xml:space="preserve">DISCUSSION </w:t>
      </w:r>
    </w:p>
    <w:p>
      <w:pPr>
        <w:pStyle w:val="Normal"/>
        <w:widowControl/>
        <w:rPr>
          <w:sz w:val="26"/>
          <w:szCs w:val="26"/>
        </w:rPr>
      </w:pPr>
      <w:r>
        <w:rPr>
          <w:sz w:val="26"/>
          <w:szCs w:val="26"/>
        </w:rPr>
      </w:r>
    </w:p>
    <w:p>
      <w:pPr>
        <w:pStyle w:val="Normal"/>
        <w:widowControl/>
        <w:ind w:firstLine="720" w:end="0"/>
        <w:rPr/>
      </w:pPr>
      <w:r>
        <w:rPr>
          <w:sz w:val="26"/>
          <w:szCs w:val="26"/>
        </w:rPr>
        <w:t>It appears that PECO may have provided Power Team with preferential treatment either in access to transmission information or in the way the transmission facilities were operated, or both. PECO may have violated section 205(b) of the FPA and sections 37.4(a)(1), 37.4(b)(3)(i), 37.4 (b)(4), 37.4(b)(5)(ii) and (iv) of the Commission's regulations by operating its transmission system in manner that was preferential to Power Team and by providing an informational advantage to Power Team.</w:t>
      </w:r>
      <w:r>
        <w:rPr>
          <w:rStyle w:val="FootnoteCharacters"/>
          <w:rStyle w:val="FootnoteReference"/>
          <w:b/>
          <w:bCs/>
          <w:sz w:val="31"/>
          <w:szCs w:val="31"/>
          <w:vertAlign w:val="superscript"/>
        </w:rPr>
        <w:footnoteReference w:id="13"/>
      </w:r>
      <w:r>
        <w:rPr>
          <w:sz w:val="26"/>
          <w:szCs w:val="26"/>
        </w:rPr>
        <w:t xml:space="preserve">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PECO may have violated section 205(b) of the FPA by derating certain transmission facilities to the benefit of Power Team and by providing maintenance outage information to benefit Power Team's FTR positions.  Because PECO may have operated its transmission system in a manner preferential to Power Team, it may have violated the FPA prohibition against </w:t>
      </w:r>
      <w:r>
        <w:rPr>
          <w:sz w:val="26"/>
          <w:szCs w:val="26"/>
          <w:lang w:val="en-GB"/>
        </w:rPr>
        <w:t xml:space="preserve">granting an undue preference or advantage to any person.  </w:t>
      </w:r>
    </w:p>
    <w:p>
      <w:pPr>
        <w:pStyle w:val="Normal"/>
        <w:widowControl/>
        <w:rPr>
          <w:sz w:val="26"/>
          <w:szCs w:val="26"/>
        </w:rPr>
      </w:pPr>
      <w:r>
        <w:rPr>
          <w:sz w:val="26"/>
          <w:szCs w:val="26"/>
        </w:rPr>
      </w:r>
    </w:p>
    <w:p>
      <w:pPr>
        <w:pStyle w:val="Normal"/>
        <w:widowControl/>
        <w:ind w:firstLine="720" w:end="0"/>
        <w:rPr>
          <w:sz w:val="26"/>
          <w:szCs w:val="26"/>
        </w:rPr>
      </w:pPr>
      <w:r>
        <w:rPr>
          <w:sz w:val="26"/>
          <w:szCs w:val="26"/>
        </w:rPr>
        <w:t>In addition, by derating certain transmission facilities and benefitting Power Team's FTR positions, PECO may have violated sections 37.4(a)(1) and 37.4(b)(5)(ii) and (iv) of the Commission's regulations.  These regulations require, respectively, that PECO function independently of the employees of its affiliated companies and that PECO must apply its tariff in a fair and impartial manner.</w:t>
      </w:r>
    </w:p>
    <w:p>
      <w:pPr>
        <w:pStyle w:val="Normal"/>
        <w:widowControl/>
        <w:rPr>
          <w:sz w:val="26"/>
          <w:szCs w:val="26"/>
        </w:rPr>
      </w:pPr>
      <w:r>
        <w:rPr>
          <w:sz w:val="26"/>
          <w:szCs w:val="26"/>
        </w:rPr>
      </w:r>
    </w:p>
    <w:p>
      <w:pPr>
        <w:pStyle w:val="Normal"/>
        <w:widowControl/>
        <w:ind w:firstLine="720" w:end="0"/>
        <w:rPr>
          <w:sz w:val="26"/>
          <w:szCs w:val="26"/>
        </w:rPr>
      </w:pPr>
      <w:r>
        <w:rPr>
          <w:sz w:val="26"/>
          <w:szCs w:val="26"/>
        </w:rPr>
        <w:t>With regard to providing Power Team with an informational advantage by providing access to maintenance outage information other than that posted on the OASIS, PECO may have violated section 37.4(b) (3)(i) of the Commission's Regulations.  This regulation prohibits PECO from providing access to any transmission related information to any customer that it has not posted on its OASIS.  PECO may have also violated section 37.4(b)(4) of the Commission's regulations which prohibits PECO from disclosing to Power Team any information regarding its transmission system through non-public communications off OASIS.</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Finally, Power Team may have violated section 37.4(b)(3)(ii) of the Commission's Regulations</w:t>
      </w:r>
      <w:r>
        <w:rPr>
          <w:rStyle w:val="FootnoteCharacters"/>
          <w:rStyle w:val="FootnoteReference"/>
          <w:b/>
          <w:bCs/>
          <w:sz w:val="31"/>
          <w:szCs w:val="31"/>
          <w:vertAlign w:val="superscript"/>
        </w:rPr>
        <w:footnoteReference w:id="14"/>
      </w:r>
      <w:r>
        <w:rPr>
          <w:sz w:val="26"/>
          <w:szCs w:val="26"/>
        </w:rPr>
        <w:t xml:space="preserve"> and its code of conduct during September through December 1999 and April 2000</w:t>
      </w:r>
      <w:r>
        <w:rPr>
          <w:rStyle w:val="FootnoteCharacters"/>
          <w:rStyle w:val="FootnoteReference"/>
          <w:b/>
          <w:bCs/>
          <w:sz w:val="31"/>
          <w:szCs w:val="31"/>
          <w:vertAlign w:val="superscript"/>
        </w:rPr>
        <w:footnoteReference w:id="15"/>
      </w:r>
      <w:r>
        <w:rPr>
          <w:sz w:val="26"/>
          <w:szCs w:val="26"/>
        </w:rPr>
        <w:t xml:space="preserve"> by receiving an informational advantage from PECO.</w:t>
      </w:r>
      <w:r>
        <w:rPr>
          <w:rStyle w:val="FootnoteCharacters"/>
          <w:rStyle w:val="FootnoteReference"/>
          <w:b/>
          <w:bCs/>
          <w:sz w:val="31"/>
          <w:szCs w:val="31"/>
          <w:vertAlign w:val="superscript"/>
        </w:rPr>
        <w:footnoteReference w:id="16"/>
      </w:r>
      <w:r>
        <w:rPr>
          <w:sz w:val="26"/>
          <w:szCs w:val="26"/>
        </w:rPr>
        <w:t xml:space="preserve">   Section 37.4(b)(3)(ii) prohibits Power Team from receiving non-public information about PECO's transmission system and Power Team's code of conduct prohibits PECO from providing Power Team with non-public information regarding PECO's transmission system or sharing non-public market information with Power Team.</w:t>
      </w:r>
      <w:r>
        <w:rPr>
          <w:rStyle w:val="FootnoteCharacters"/>
          <w:rStyle w:val="FootnoteReference"/>
          <w:b/>
          <w:bCs/>
          <w:sz w:val="31"/>
          <w:szCs w:val="31"/>
          <w:vertAlign w:val="superscript"/>
        </w:rPr>
        <w:footnoteReference w:id="17"/>
      </w:r>
    </w:p>
    <w:p>
      <w:pPr>
        <w:pStyle w:val="Normal"/>
        <w:widowControl/>
        <w:rPr>
          <w:sz w:val="26"/>
          <w:szCs w:val="26"/>
        </w:rPr>
      </w:pPr>
      <w:r>
        <w:rPr>
          <w:sz w:val="26"/>
          <w:szCs w:val="26"/>
        </w:rPr>
      </w:r>
    </w:p>
    <w:p>
      <w:pPr>
        <w:pStyle w:val="Normal"/>
        <w:widowControl/>
        <w:ind w:firstLine="720" w:end="0"/>
        <w:rPr>
          <w:sz w:val="26"/>
          <w:szCs w:val="26"/>
        </w:rPr>
      </w:pPr>
      <w:r>
        <w:rPr>
          <w:sz w:val="26"/>
          <w:szCs w:val="26"/>
        </w:rPr>
        <w:t>PECO, Exelon and Power Team are directed to show cause why the Commission should not find that each have violated the FPA and the Commission's regulations.  If the Commission finds violations, it may order remedies that include disgorgement of net revenues from the FTR transactions and restrictions on Power Team's market based rate authority.  Also, the Commission may require that PECO be precluded from derating or removing any transmission related equipment from service without first receiving approval from PJM.  PECO would be required to immediately report to Commission staff any deratings or removal of transmission related equipment from service for a specified period.  Based on the responses to this order and any other information that comes to the attention of the Commission in this matter, the Commission may issue further orders, as appropriate.</w:t>
        <w:tab/>
        <w:tab/>
        <w:tab/>
        <w:tab/>
        <w:tab/>
        <w:tab/>
        <w:tab/>
        <w:tab/>
        <w:tab/>
        <w:tab/>
      </w:r>
    </w:p>
    <w:p>
      <w:pPr>
        <w:pStyle w:val="Normal"/>
        <w:widowControl/>
        <w:rPr>
          <w:sz w:val="26"/>
          <w:szCs w:val="26"/>
        </w:rPr>
      </w:pPr>
      <w:r>
        <w:rPr>
          <w:sz w:val="26"/>
          <w:szCs w:val="26"/>
        </w:rPr>
      </w:r>
    </w:p>
    <w:p>
      <w:pPr>
        <w:pStyle w:val="Normal"/>
        <w:widowControl/>
        <w:ind w:firstLine="720" w:end="0"/>
        <w:rPr>
          <w:sz w:val="26"/>
          <w:szCs w:val="26"/>
        </w:rPr>
      </w:pPr>
      <w:r>
        <w:rPr>
          <w:sz w:val="26"/>
          <w:szCs w:val="26"/>
        </w:rPr>
        <w:t>In a companion order in Docket No. EL01-122-000, the Commission is directing PJM to report to the Commission on its current transmission oversight processes and procedures regarding maintenance and derating decisions.  The Commission is concerned about the degree of oversight of transmission operations, particularly outages and deratings, that is exercised by PJM.  The Commission is interested in reviewing PJM's procedures and, if necessary, exploring ways to strengthen PJM's oversight in the future.</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rPr>
          <w:sz w:val="26"/>
          <w:szCs w:val="26"/>
        </w:rPr>
      </w:pPr>
      <w:r>
        <w:rPr>
          <w:sz w:val="26"/>
          <w:szCs w:val="26"/>
        </w:rPr>
        <w:t xml:space="preserve"> </w:t>
      </w:r>
      <w:r>
        <w:rPr>
          <w:sz w:val="26"/>
          <w:szCs w:val="26"/>
        </w:rPr>
        <w:tab/>
        <w:t>On the date of this order, the Secretary will provide copies of the non-public Appendix to PECO, Power Team and PJM.  Pursuant to section 1b.20 and 388.112 of the Commission's regulations, 18 C.F.R. §§  1b.20 and 388.112 (2001), notice is given that the Commission will make the non-public Appendix public five business days after the date of this order.</w:t>
      </w:r>
    </w:p>
    <w:p>
      <w:pPr>
        <w:pStyle w:val="Normal"/>
        <w:widowControl/>
        <w:rPr>
          <w:sz w:val="26"/>
          <w:szCs w:val="26"/>
        </w:rPr>
      </w:pPr>
      <w:r>
        <w:rPr>
          <w:sz w:val="26"/>
          <w:szCs w:val="26"/>
        </w:rPr>
      </w:r>
    </w:p>
    <w:p>
      <w:pPr>
        <w:pStyle w:val="Normal"/>
        <w:widowControl/>
        <w:rPr/>
      </w:pPr>
      <w:r>
        <w:rPr>
          <w:sz w:val="26"/>
          <w:szCs w:val="26"/>
          <w:u w:val="single"/>
        </w:rPr>
        <w:t>The Commission orders</w:t>
      </w:r>
      <w:r>
        <w:rPr>
          <w:sz w:val="26"/>
          <w:szCs w:val="26"/>
        </w:rPr>
        <w:t>:</w:t>
      </w:r>
    </w:p>
    <w:p>
      <w:pPr>
        <w:pStyle w:val="Normal"/>
        <w:widowControl/>
        <w:rPr>
          <w:sz w:val="26"/>
          <w:szCs w:val="26"/>
        </w:rPr>
      </w:pPr>
      <w:r>
        <w:rPr>
          <w:sz w:val="26"/>
          <w:szCs w:val="26"/>
        </w:rPr>
      </w:r>
    </w:p>
    <w:p>
      <w:pPr>
        <w:pStyle w:val="Normal"/>
        <w:widowControl/>
        <w:ind w:firstLine="720" w:end="0"/>
        <w:rPr>
          <w:sz w:val="26"/>
          <w:szCs w:val="26"/>
        </w:rPr>
      </w:pPr>
      <w:r>
        <w:rPr>
          <w:sz w:val="26"/>
          <w:szCs w:val="26"/>
        </w:rPr>
        <w:t>(A)</w:t>
        <w:tab/>
        <w:t>PECO Energy Company is directed,  within 20 days of the date of this order, to show cause why it should not be found to have violated section 205 of the Federal Power Act and sections 37.4(a)(1), 37.4(b)(3)(i), 37.4 (b)(4), 37.4(b)(5)(ii) and (iv) of the Commission's regulations, as described in this order.</w:t>
      </w:r>
    </w:p>
    <w:p>
      <w:pPr>
        <w:pStyle w:val="Normal"/>
        <w:widowControl/>
        <w:rPr>
          <w:sz w:val="26"/>
          <w:szCs w:val="26"/>
        </w:rPr>
      </w:pPr>
      <w:r>
        <w:rPr>
          <w:sz w:val="26"/>
          <w:szCs w:val="26"/>
        </w:rPr>
      </w:r>
    </w:p>
    <w:p>
      <w:pPr>
        <w:pStyle w:val="Normal"/>
        <w:widowControl/>
        <w:ind w:firstLine="720" w:end="0"/>
        <w:rPr>
          <w:sz w:val="26"/>
          <w:szCs w:val="26"/>
        </w:rPr>
      </w:pPr>
      <w:r>
        <w:rPr>
          <w:sz w:val="26"/>
          <w:szCs w:val="26"/>
        </w:rPr>
        <w:t>(B)</w:t>
        <w:tab/>
        <w:t>Exelon Generation Company, L.L.C.- Exelon Power Team is directed, within 20 days of the date of this order, to show cause why they should not be found to have violated section 205 of the Federal Power Act and section 37.4(b)(3)(ii) of the Commission's Regulations and its code of conduct.</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(C)</w:t>
        <w:tab/>
        <w:t xml:space="preserve">Pursuant to sections 1b.20 and 388.112 of the Commission's regulations, </w:t>
      </w:r>
    </w:p>
    <w:p>
      <w:pPr>
        <w:pStyle w:val="Normal"/>
        <w:widowControl/>
        <w:rPr>
          <w:sz w:val="26"/>
          <w:szCs w:val="26"/>
        </w:rPr>
      </w:pPr>
      <w:r>
        <w:rPr>
          <w:sz w:val="26"/>
          <w:szCs w:val="26"/>
        </w:rPr>
        <w:t>18 C.F.R. §§ 1b.20 and 388.112 (2001), the Commission will make the appendix public, within five days of  the date of this order.</w:t>
      </w:r>
    </w:p>
    <w:p>
      <w:pPr>
        <w:pStyle w:val="Normal"/>
        <w:widowControl/>
        <w:rPr>
          <w:sz w:val="26"/>
          <w:szCs w:val="26"/>
        </w:rPr>
      </w:pPr>
      <w:r>
        <w:rPr>
          <w:sz w:val="26"/>
          <w:szCs w:val="26"/>
        </w:rPr>
      </w:r>
    </w:p>
    <w:p>
      <w:pPr>
        <w:pStyle w:val="Normal"/>
        <w:widowControl/>
        <w:rPr>
          <w:sz w:val="26"/>
          <w:szCs w:val="26"/>
        </w:rPr>
      </w:pPr>
      <w:r>
        <w:rPr>
          <w:sz w:val="26"/>
          <w:szCs w:val="26"/>
        </w:rPr>
        <w:t>By the Commission.</w:t>
      </w:r>
    </w:p>
    <w:p>
      <w:pPr>
        <w:pStyle w:val="Normal"/>
        <w:widowControl/>
        <w:rPr>
          <w:sz w:val="26"/>
          <w:szCs w:val="26"/>
        </w:rPr>
      </w:pPr>
      <w:r>
        <w:rPr>
          <w:sz w:val="26"/>
          <w:szCs w:val="26"/>
        </w:rPr>
      </w:r>
    </w:p>
    <w:p>
      <w:pPr>
        <w:pStyle w:val="Normal"/>
        <w:widowControl/>
        <w:rPr>
          <w:sz w:val="26"/>
          <w:szCs w:val="26"/>
        </w:rPr>
      </w:pPr>
      <w:r>
        <w:rPr>
          <w:sz w:val="26"/>
          <w:szCs w:val="26"/>
        </w:rPr>
        <w:t>( S E A L )</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5040" w:end="0"/>
        <w:rPr>
          <w:sz w:val="26"/>
          <w:szCs w:val="26"/>
        </w:rPr>
      </w:pPr>
      <w:r>
        <w:rPr>
          <w:sz w:val="26"/>
          <w:szCs w:val="26"/>
        </w:rPr>
        <w:t>David P. Boergers,</w:t>
      </w:r>
    </w:p>
    <w:p>
      <w:pPr>
        <w:pStyle w:val="Normal"/>
        <w:widowControl/>
        <w:ind w:firstLine="5040" w:end="0"/>
        <w:rPr>
          <w:sz w:val="26"/>
          <w:szCs w:val="26"/>
        </w:rPr>
      </w:pPr>
      <w:r>
        <w:rPr>
          <w:sz w:val="26"/>
          <w:szCs w:val="26"/>
        </w:rPr>
        <w:t xml:space="preserve">      </w:t>
      </w:r>
      <w:r>
        <w:rPr>
          <w:sz w:val="26"/>
          <w:szCs w:val="26"/>
        </w:rPr>
        <w:t>Secretary.</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rPr/>
      </w:pPr>
      <w:r>
        <w:rPr/>
      </w:r>
    </w:p>
    <w:sectPr>
      <w:headerReference w:type="default" r:id="rId2"/>
      <w:footnotePr>
        <w:numFmt w:val="decimal"/>
      </w:footnotePr>
      <w:type w:val="nextPage"/>
      <w:pgSz w:w="12240" w:h="15840"/>
      <w:pgMar w:left="1440" w:right="1440" w:gutter="0" w:header="1440" w:top="1496"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6"/>
          <w:szCs w:val="26"/>
        </w:rPr>
        <w:t>16 U.S.C. § 824d(b) (1994).</w:t>
      </w:r>
    </w:p>
  </w:footnote>
  <w:footnote w:id="3">
    <w:p>
      <w:pPr>
        <w:pStyle w:val="Normal"/>
        <w:ind w:firstLine="720" w:end="0"/>
        <w:rPr/>
      </w:pPr>
      <w:r>
        <w:rPr>
          <w:rStyle w:val="FootnoteCharacters"/>
        </w:rPr>
        <w:footnoteRef/>
      </w:r>
      <w:r>
        <w:rPr>
          <w:sz w:val="26"/>
          <w:szCs w:val="26"/>
        </w:rPr>
        <w:t xml:space="preserve">18 C.F.R.§ 37.4(b)(3)(1) (2001), 18 C.F.R. § 37.4(b)(4) (2001), 18 C.F.R. </w:t>
      </w:r>
    </w:p>
    <w:p>
      <w:pPr>
        <w:pStyle w:val="Normal"/>
        <w:spacing w:before="0" w:after="240"/>
        <w:rPr>
          <w:sz w:val="26"/>
          <w:szCs w:val="26"/>
        </w:rPr>
      </w:pPr>
      <w:r>
        <w:rPr>
          <w:sz w:val="26"/>
          <w:szCs w:val="26"/>
        </w:rPr>
        <w:t>§ 37.4(b)(5)(ii) and (iv) (2001).</w:t>
      </w:r>
    </w:p>
  </w:footnote>
  <w:footnote w:id="4">
    <w:p>
      <w:pPr>
        <w:pStyle w:val="Normal"/>
        <w:spacing w:before="0" w:after="240"/>
        <w:ind w:firstLine="720" w:end="0"/>
        <w:rPr/>
      </w:pPr>
      <w:r>
        <w:rPr>
          <w:rStyle w:val="FootnoteCharacters"/>
        </w:rPr>
        <w:footnoteRef/>
      </w:r>
      <w:r>
        <w:rPr>
          <w:sz w:val="26"/>
          <w:szCs w:val="26"/>
        </w:rPr>
        <w:t>93 FERC ¶ 61,140 (2000).</w:t>
      </w:r>
    </w:p>
  </w:footnote>
  <w:footnote w:id="5">
    <w:p>
      <w:pPr>
        <w:pStyle w:val="Normal"/>
        <w:spacing w:before="0" w:after="240"/>
        <w:ind w:firstLine="720" w:end="0"/>
        <w:rPr/>
      </w:pPr>
      <w:r>
        <w:rPr>
          <w:rStyle w:val="FootnoteCharacters"/>
        </w:rPr>
        <w:footnoteRef/>
      </w:r>
      <w:r>
        <w:rPr>
          <w:sz w:val="26"/>
          <w:szCs w:val="26"/>
        </w:rPr>
        <w:t>18 C.F.R. § 1b.9 (2001).</w:t>
      </w:r>
    </w:p>
  </w:footnote>
  <w:footnote w:id="6">
    <w:p>
      <w:pPr>
        <w:pStyle w:val="Normal"/>
        <w:spacing w:before="0" w:after="240"/>
        <w:ind w:firstLine="720" w:end="0"/>
        <w:rPr/>
      </w:pPr>
      <w:r>
        <w:rPr>
          <w:rStyle w:val="FootnoteCharacters"/>
        </w:rPr>
        <w:footnoteRef/>
      </w:r>
      <w:r>
        <w:rPr>
          <w:sz w:val="26"/>
          <w:szCs w:val="26"/>
          <w:lang w:val="en-GB"/>
        </w:rPr>
        <w:t>PJM Manual for Fixed Transmission Rights, Revision 3, June 1, 2000, at p. 1-1</w:t>
      </w:r>
    </w:p>
  </w:footnote>
  <w:footnote w:id="7">
    <w:p>
      <w:pPr>
        <w:pStyle w:val="Normal"/>
        <w:spacing w:before="0" w:after="240"/>
        <w:ind w:firstLine="720" w:end="0"/>
        <w:rPr/>
      </w:pPr>
      <w:r>
        <w:rPr>
          <w:rStyle w:val="FootnoteCharacters"/>
        </w:rPr>
        <w:footnoteRef/>
      </w:r>
      <w:r>
        <w:rPr>
          <w:sz w:val="26"/>
          <w:szCs w:val="26"/>
          <w:lang w:val="en-GB"/>
        </w:rPr>
        <w:t>PJM Interconnection State of the Market Report 2000, PJM Market Monitoring Unit, June 1, 2000, at 77</w:t>
      </w:r>
    </w:p>
  </w:footnote>
  <w:footnote w:id="8">
    <w:p>
      <w:pPr>
        <w:pStyle w:val="Normal"/>
        <w:spacing w:before="0" w:after="240"/>
        <w:ind w:firstLine="720" w:end="0"/>
        <w:rPr/>
      </w:pPr>
      <w:r>
        <w:rPr>
          <w:rStyle w:val="FootnoteCharacters"/>
        </w:rPr>
        <w:footnoteRef/>
      </w:r>
      <w:r>
        <w:rPr>
          <w:sz w:val="26"/>
          <w:szCs w:val="26"/>
          <w:lang w:val="en-GB"/>
        </w:rPr>
        <w:t>See Atlantic City Electric Company, et al., 86 FERC ¶ 61,147 (1999).</w:t>
      </w:r>
    </w:p>
  </w:footnote>
  <w:footnote w:id="9">
    <w:p>
      <w:pPr>
        <w:pStyle w:val="Normal"/>
        <w:spacing w:before="0" w:after="240"/>
        <w:ind w:firstLine="720" w:end="0"/>
        <w:rPr/>
      </w:pPr>
      <w:r>
        <w:rPr>
          <w:rStyle w:val="FootnoteCharacters"/>
        </w:rPr>
        <w:footnoteRef/>
      </w:r>
      <w:r>
        <w:rPr>
          <w:sz w:val="26"/>
          <w:szCs w:val="26"/>
          <w:lang w:val="en-GB"/>
        </w:rPr>
        <w:t>PJM Interconnection, L.L.C., 87 FERC ¶ 61,054 (1999).</w:t>
      </w:r>
    </w:p>
  </w:footnote>
  <w:footnote w:id="10">
    <w:p>
      <w:pPr>
        <w:pStyle w:val="Normal"/>
        <w:spacing w:before="0" w:after="240"/>
        <w:ind w:firstLine="720" w:end="0"/>
        <w:rPr/>
      </w:pPr>
      <w:r>
        <w:rPr>
          <w:rStyle w:val="FootnoteCharacters"/>
        </w:rPr>
        <w:footnoteRef/>
      </w:r>
      <w:r>
        <w:rPr>
          <w:sz w:val="26"/>
          <w:szCs w:val="26"/>
          <w:lang w:val="en-GB"/>
        </w:rPr>
        <w:t>PJM Interconnection, L.L.C. Original Sheet Nos. 186-187, FERC Electric Tariff, Fourth Revised Volume No. 1.</w:t>
      </w:r>
    </w:p>
  </w:footnote>
  <w:footnote w:id="11">
    <w:p>
      <w:pPr>
        <w:pStyle w:val="Normal"/>
        <w:spacing w:before="0" w:after="240"/>
        <w:ind w:firstLine="720" w:end="0"/>
        <w:rPr/>
      </w:pPr>
      <w:r>
        <w:rPr>
          <w:rStyle w:val="FootnoteCharacters"/>
        </w:rPr>
        <w:footnoteRef/>
      </w:r>
      <w:r>
        <w:rPr>
          <w:sz w:val="26"/>
          <w:szCs w:val="26"/>
          <w:lang w:val="en-GB"/>
        </w:rPr>
        <w:t>PJM Interconnection, L.L.C. Original Sheet No. 252, FERC Electric Tariff, Fourth Revised Volume No. 1</w:t>
      </w:r>
      <w:r>
        <w:rPr>
          <w:sz w:val="26"/>
          <w:szCs w:val="26"/>
        </w:rPr>
        <w:t>.</w:t>
      </w:r>
    </w:p>
  </w:footnote>
  <w:footnote w:id="12">
    <w:p>
      <w:pPr>
        <w:pStyle w:val="Normal"/>
        <w:spacing w:before="0" w:after="240"/>
        <w:ind w:firstLine="720" w:end="0"/>
        <w:rPr/>
      </w:pPr>
      <w:r>
        <w:rPr>
          <w:rStyle w:val="FootnoteCharacters"/>
        </w:rPr>
        <w:footnoteRef/>
      </w:r>
      <w:r>
        <w:rPr>
          <w:sz w:val="26"/>
          <w:szCs w:val="26"/>
        </w:rPr>
        <w:t xml:space="preserve">"Derating transmission equipment" means that the transmission provider notifies system operations that the operating limit of the equipment will be reduced.  The reduction is usually the result of a contingency, maintenance or outage (planned or unplanned) of </w:t>
      </w:r>
      <w:r>
        <w:rPr>
          <w:sz w:val="26"/>
          <w:szCs w:val="26"/>
          <w:u w:val="single"/>
        </w:rPr>
        <w:t>another</w:t>
      </w:r>
      <w:r>
        <w:rPr>
          <w:sz w:val="26"/>
          <w:szCs w:val="26"/>
        </w:rPr>
        <w:t xml:space="preserve"> piece of transmission equipment in the network.</w:t>
      </w:r>
    </w:p>
  </w:footnote>
  <w:footnote w:id="13">
    <w:p>
      <w:pPr>
        <w:pStyle w:val="Normal"/>
        <w:ind w:firstLine="720" w:end="0"/>
        <w:rPr/>
      </w:pPr>
      <w:r>
        <w:rPr>
          <w:rStyle w:val="FootnoteCharacters"/>
        </w:rPr>
        <w:footnoteRef/>
      </w:r>
      <w:r>
        <w:rPr>
          <w:sz w:val="26"/>
          <w:szCs w:val="26"/>
        </w:rPr>
        <w:t xml:space="preserve">18 C.F.R. § 37.4(a)(1) (2001), 18 C.F.R.§ 37.4(b)(3)(1) (2001), 18 C.F.R. </w:t>
      </w:r>
    </w:p>
    <w:p>
      <w:pPr>
        <w:pStyle w:val="Normal"/>
        <w:spacing w:before="0" w:after="240"/>
        <w:rPr>
          <w:sz w:val="26"/>
          <w:szCs w:val="26"/>
        </w:rPr>
      </w:pPr>
      <w:r>
        <w:rPr>
          <w:sz w:val="26"/>
          <w:szCs w:val="26"/>
        </w:rPr>
        <w:t>§ 37.4(b)(4) (2001), 18 C.F.R. § 37.4(b)(5)(ii) and (iv) (2001).</w:t>
      </w:r>
    </w:p>
  </w:footnote>
  <w:footnote w:id="14">
    <w:p>
      <w:pPr>
        <w:pStyle w:val="Normal"/>
        <w:spacing w:before="0" w:after="240"/>
        <w:ind w:firstLine="720" w:end="0"/>
        <w:rPr/>
      </w:pPr>
      <w:r>
        <w:rPr>
          <w:rStyle w:val="FootnoteCharacters"/>
        </w:rPr>
        <w:footnoteRef/>
      </w:r>
      <w:r>
        <w:rPr>
          <w:sz w:val="26"/>
          <w:szCs w:val="26"/>
        </w:rPr>
        <w:t>18 C.F.R. § 37.4(b)(3)(ii) (2001)</w:t>
      </w:r>
    </w:p>
  </w:footnote>
  <w:footnote w:id="15">
    <w:p>
      <w:pPr>
        <w:pStyle w:val="Normal"/>
        <w:spacing w:before="0" w:after="240"/>
        <w:ind w:firstLine="720" w:end="0"/>
        <w:rPr/>
      </w:pPr>
      <w:r>
        <w:rPr>
          <w:rStyle w:val="FootnoteCharacters"/>
        </w:rPr>
        <w:footnoteRef/>
      </w:r>
      <w:r>
        <w:rPr>
          <w:sz w:val="26"/>
          <w:szCs w:val="26"/>
        </w:rPr>
        <w:t>PECO Energy Company, 74 FERC ¶ 61,336 (1996).  On May 24, 1996, by delegated order, the Commission accepted PECO's code of conduct.  See Market Based Sales Tariff and Supporting Code of Conduct, April 11, 1996, Docket No. ER96-640-000.</w:t>
      </w:r>
    </w:p>
  </w:footnote>
  <w:footnote w:id="16">
    <w:p>
      <w:pPr>
        <w:pStyle w:val="Normal"/>
        <w:ind w:firstLine="720" w:end="0"/>
        <w:rPr/>
      </w:pPr>
      <w:r>
        <w:rPr>
          <w:rStyle w:val="FootnoteCharacters"/>
        </w:rPr>
        <w:footnoteRef/>
      </w:r>
      <w:r>
        <w:rPr>
          <w:sz w:val="26"/>
          <w:szCs w:val="26"/>
        </w:rPr>
        <w:t xml:space="preserve">Subsequently, on November 8, 2000, the Commission approved Exelon Generation's request to waive its code of conduct on inter-affiliate power sales.  </w:t>
      </w:r>
    </w:p>
    <w:p>
      <w:pPr>
        <w:pStyle w:val="Normal"/>
        <w:spacing w:before="0" w:after="240"/>
        <w:rPr>
          <w:sz w:val="26"/>
          <w:szCs w:val="26"/>
        </w:rPr>
      </w:pPr>
      <w:r>
        <w:rPr>
          <w:sz w:val="26"/>
          <w:szCs w:val="26"/>
        </w:rPr>
        <w:t>93 FERC ¶ 61,140 at 61,425-426 (2000).</w:t>
      </w:r>
    </w:p>
  </w:footnote>
  <w:footnote w:id="17">
    <w:p>
      <w:pPr>
        <w:pStyle w:val="Normal"/>
        <w:spacing w:before="0" w:after="240"/>
        <w:ind w:firstLine="720" w:end="0"/>
        <w:rPr/>
      </w:pPr>
      <w:r>
        <w:rPr>
          <w:rStyle w:val="FootnoteCharacters"/>
        </w:rPr>
        <w:footnoteRef/>
      </w:r>
      <w:r>
        <w:rPr>
          <w:sz w:val="26"/>
          <w:szCs w:val="26"/>
        </w:rPr>
        <w:t>PECO Energy Company, Docket No. ER96-640-001 (April 11, 1996), Code of Conduct at 2.</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2001-10-04T00:07:00Z</dcterms:created>
  <dc:creator>Vincent G. Gadsden</dc:creator>
  <dc:description/>
  <dc:language>en-CA</dc:language>
  <cp:lastModifiedBy>Vincent G. Gadsden</cp:lastModifiedBy>
  <dcterms:modified xsi:type="dcterms:W3CDTF">2001-10-04T00:07:00Z</dcterms:modified>
  <cp:revision>2</cp:revision>
  <dc:subject/>
  <dc:title>UNITED STATES OF AMERICA 97 FERC  61,009</dc:title>
</cp:coreProperties>
</file>