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embeddings/oleObject1.pptx" ContentType="application/vnd.openxmlformats-officedocument.presentationml.presentation"/>
  <Override PartName="/word/embeddings/oleObject2.xlsx" ContentType="application/vnd.openxmlformats-officedocument.spreadsheetml.sheet"/>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bCs/>
        </w:rPr>
      </w:pPr>
      <w:r>
        <w:rPr>
          <w:b/>
          <w:bCs/>
        </w:rPr>
        <w:t>INTRODUCTION</w:t>
      </w:r>
    </w:p>
    <w:p>
      <w:pPr>
        <w:pStyle w:val="BodyText"/>
        <w:rPr>
          <w:b/>
          <w:bCs/>
        </w:rPr>
      </w:pPr>
      <w:r>
        <w:rPr>
          <w:b/>
          <w:bCs/>
        </w:rPr>
      </w:r>
    </w:p>
    <w:p>
      <w:pPr>
        <w:pStyle w:val="BodyText"/>
        <w:rPr/>
      </w:pPr>
      <w:r>
        <w:rPr/>
        <w:t>WaterDesk Corp. (“the Company”) was incubated by Azurix Corp. to provide participants in the global water industry with WaterDesk.com, a global, single-source, collaborative, business-to-business network to efficiently source, transact and manage, information, products and services.  However, given the recent board approval of Enron’s offer to take Azurix Corp. private, the company’s priorities have changed. Specifically, in addition to offering investors the opportunity to invest in a public marketplace solution, the Company’s management has been charged to pursue other avenues, such as private marketplace or buy-side procurement solutions, and to broaden its opportunity set by seeking potential solutions outside the water industry. Feedback from the various and numerous entities that have performed due diligence on the Company indicate that its assets are well suited for any of these alternative solutions.</w:t>
      </w:r>
    </w:p>
    <w:p>
      <w:pPr>
        <w:pStyle w:val="Normal"/>
        <w:rPr>
          <w:sz w:val="24"/>
        </w:rPr>
      </w:pPr>
      <w:r>
        <w:rPr>
          <w:sz w:val="24"/>
        </w:rPr>
      </w:r>
    </w:p>
    <w:p>
      <w:pPr>
        <w:pStyle w:val="BodyText2"/>
        <w:rPr>
          <w:sz w:val="24"/>
        </w:rPr>
      </w:pPr>
      <w:r>
        <w:rPr>
          <w:sz w:val="24"/>
        </w:rPr>
        <w:t xml:space="preserve">Azurix desires to sell 100% of the Company as quickly as is practical.  Azurix will, however, entertain offers for portions of the Company. </w:t>
      </w:r>
    </w:p>
    <w:p>
      <w:pPr>
        <w:pStyle w:val="BodyText2"/>
        <w:rPr>
          <w:sz w:val="24"/>
        </w:rPr>
      </w:pPr>
      <w:r>
        <w:rPr>
          <w:sz w:val="24"/>
        </w:rPr>
      </w:r>
    </w:p>
    <w:p>
      <w:pPr>
        <w:pStyle w:val="BodyText2"/>
        <w:rPr>
          <w:sz w:val="24"/>
        </w:rPr>
      </w:pPr>
      <w:r>
        <w:rPr>
          <w:sz w:val="24"/>
        </w:rPr>
        <w:t>As time is of the essence, Azurix will evaluate all offers upon receipt and will follow-up immediately on offers it finds attractive.</w:t>
      </w:r>
    </w:p>
    <w:p>
      <w:pPr>
        <w:pStyle w:val="BodyText2"/>
        <w:rPr>
          <w:sz w:val="24"/>
        </w:rPr>
      </w:pPr>
      <w:r>
        <w:rPr>
          <w:sz w:val="24"/>
        </w:rPr>
      </w:r>
    </w:p>
    <w:p>
      <w:pPr>
        <w:pStyle w:val="BodyText"/>
        <w:jc w:val="both"/>
        <w:rPr>
          <w:b/>
          <w:bCs/>
        </w:rPr>
      </w:pPr>
      <w:r>
        <w:rPr>
          <w:b/>
          <w:bCs/>
        </w:rPr>
        <w:t>KEY ELEMENTS OF VALUE</w:t>
      </w:r>
    </w:p>
    <w:p>
      <w:pPr>
        <w:pStyle w:val="BodyText"/>
        <w:rPr>
          <w:b/>
          <w:bCs/>
        </w:rPr>
      </w:pPr>
      <w:r>
        <w:rPr>
          <w:b/>
          <w:bCs/>
        </w:rPr>
      </w:r>
    </w:p>
    <w:p>
      <w:pPr>
        <w:pStyle w:val="BodyText"/>
        <w:jc w:val="both"/>
        <w:rPr/>
      </w:pPr>
      <w:r>
        <w:rPr/>
        <w:t>The key elements of value in WaterDesk are: a qualified and experienced team; intellectual property; and, a secure, integrated and operational platform.  This unique opportunity makes great sense for organizations (brick and mortar, as well as dotcom) that desire to leverage a fully developed and robust e-business solution at a substantial discount, both in terms of time and money.</w:t>
      </w:r>
    </w:p>
    <w:p>
      <w:pPr>
        <w:pStyle w:val="BodyText"/>
        <w:rPr/>
      </w:pPr>
      <w:r>
        <w:rPr/>
      </w:r>
    </w:p>
    <w:p>
      <w:pPr>
        <w:pStyle w:val="BodyText"/>
        <w:numPr>
          <w:ilvl w:val="0"/>
          <w:numId w:val="12"/>
        </w:numPr>
        <w:jc w:val="both"/>
        <w:rPr/>
      </w:pPr>
      <w:r>
        <w:rPr/>
        <w:t xml:space="preserve">A qualified and experienced implementation project team (17 members) that has been working together for nearly one year. </w:t>
      </w:r>
    </w:p>
    <w:p>
      <w:pPr>
        <w:pStyle w:val="BodyText"/>
        <w:numPr>
          <w:ilvl w:val="1"/>
          <w:numId w:val="12"/>
        </w:numPr>
        <w:rPr/>
      </w:pPr>
      <w:r>
        <w:rPr/>
        <w:t>Technology (6)</w:t>
      </w:r>
    </w:p>
    <w:p>
      <w:pPr>
        <w:pStyle w:val="BodyText"/>
        <w:numPr>
          <w:ilvl w:val="1"/>
          <w:numId w:val="12"/>
        </w:numPr>
        <w:rPr/>
      </w:pPr>
      <w:r>
        <w:rPr/>
        <w:t>Procurement (3)</w:t>
      </w:r>
    </w:p>
    <w:p>
      <w:pPr>
        <w:pStyle w:val="BodyText"/>
        <w:numPr>
          <w:ilvl w:val="1"/>
          <w:numId w:val="12"/>
        </w:numPr>
        <w:rPr/>
      </w:pPr>
      <w:r>
        <w:rPr/>
        <w:t>Call Center (1)</w:t>
      </w:r>
    </w:p>
    <w:p>
      <w:pPr>
        <w:pStyle w:val="BodyText"/>
        <w:numPr>
          <w:ilvl w:val="1"/>
          <w:numId w:val="12"/>
        </w:numPr>
        <w:rPr/>
      </w:pPr>
      <w:r>
        <w:rPr/>
        <w:t>Sales &amp; Marketing (2)</w:t>
      </w:r>
    </w:p>
    <w:p>
      <w:pPr>
        <w:pStyle w:val="BodyText"/>
        <w:numPr>
          <w:ilvl w:val="1"/>
          <w:numId w:val="12"/>
        </w:numPr>
        <w:rPr/>
      </w:pPr>
      <w:r>
        <w:rPr/>
        <w:t>Management (3)</w:t>
      </w:r>
    </w:p>
    <w:p>
      <w:pPr>
        <w:pStyle w:val="BodyText"/>
        <w:numPr>
          <w:ilvl w:val="1"/>
          <w:numId w:val="12"/>
        </w:numPr>
        <w:rPr/>
      </w:pPr>
      <w:r>
        <w:rPr/>
        <w:t>Finance / Accounting (2)</w:t>
      </w:r>
    </w:p>
    <w:p>
      <w:pPr>
        <w:pStyle w:val="BodyText"/>
        <w:rPr/>
      </w:pPr>
      <w:r>
        <w:rPr/>
      </w:r>
    </w:p>
    <w:p>
      <w:pPr>
        <w:pStyle w:val="BodyText"/>
        <w:numPr>
          <w:ilvl w:val="0"/>
          <w:numId w:val="2"/>
        </w:numPr>
        <w:rPr/>
      </w:pPr>
      <w:r>
        <w:rPr/>
        <w:t>Intellectual Property</w:t>
      </w:r>
    </w:p>
    <w:p>
      <w:pPr>
        <w:pStyle w:val="BodyText"/>
        <w:numPr>
          <w:ilvl w:val="1"/>
          <w:numId w:val="2"/>
        </w:numPr>
        <w:rPr/>
      </w:pPr>
      <w:r>
        <w:rPr/>
        <w:t xml:space="preserve">IP around marketplace strategy </w:t>
      </w:r>
    </w:p>
    <w:p>
      <w:pPr>
        <w:pStyle w:val="BodyText"/>
        <w:numPr>
          <w:ilvl w:val="1"/>
          <w:numId w:val="2"/>
        </w:numPr>
        <w:rPr/>
      </w:pPr>
      <w:r>
        <w:rPr/>
        <w:t>IP around marketplace product development</w:t>
      </w:r>
    </w:p>
    <w:p>
      <w:pPr>
        <w:pStyle w:val="BodyText"/>
        <w:numPr>
          <w:ilvl w:val="1"/>
          <w:numId w:val="2"/>
        </w:numPr>
        <w:rPr/>
      </w:pPr>
      <w:r>
        <w:rPr/>
        <w:t>IP around buyer adoption</w:t>
      </w:r>
    </w:p>
    <w:p>
      <w:pPr>
        <w:pStyle w:val="BodyText"/>
        <w:numPr>
          <w:ilvl w:val="1"/>
          <w:numId w:val="2"/>
        </w:numPr>
        <w:rPr/>
      </w:pPr>
      <w:r>
        <w:rPr/>
        <w:t>IP around seller adoption</w:t>
      </w:r>
    </w:p>
    <w:p>
      <w:pPr>
        <w:pStyle w:val="BodyText"/>
        <w:numPr>
          <w:ilvl w:val="1"/>
          <w:numId w:val="2"/>
        </w:numPr>
        <w:rPr/>
      </w:pPr>
      <w:r>
        <w:rPr/>
        <w:t>IP around systems integration process</w:t>
      </w:r>
    </w:p>
    <w:p>
      <w:pPr>
        <w:pStyle w:val="BodyText"/>
        <w:numPr>
          <w:ilvl w:val="1"/>
          <w:numId w:val="2"/>
        </w:numPr>
        <w:rPr/>
      </w:pPr>
      <w:r>
        <w:rPr/>
        <w:t>IP around customer solutions and services</w:t>
      </w:r>
    </w:p>
    <w:p>
      <w:pPr>
        <w:pStyle w:val="BodyText"/>
        <w:numPr>
          <w:ilvl w:val="1"/>
          <w:numId w:val="2"/>
        </w:numPr>
        <w:rPr/>
      </w:pPr>
      <w:r>
        <w:rPr/>
        <w:t>IP around user training</w:t>
      </w:r>
    </w:p>
    <w:p>
      <w:pPr>
        <w:pStyle w:val="BodyText"/>
        <w:numPr>
          <w:ilvl w:val="1"/>
          <w:numId w:val="2"/>
        </w:numPr>
        <w:rPr/>
      </w:pPr>
      <w:r>
        <w:rPr/>
        <w:t>A proprietary water /wastewater supplier catalog schema and content strategy.</w:t>
      </w:r>
      <w:r>
        <w:br w:type="page"/>
      </w:r>
    </w:p>
    <w:p>
      <w:pPr>
        <w:pStyle w:val="BodyText"/>
        <w:numPr>
          <w:ilvl w:val="0"/>
          <w:numId w:val="3"/>
        </w:numPr>
        <w:rPr/>
      </w:pPr>
      <w:r>
        <w:rPr/>
        <w:t>A secure, integrated site that is live and accepting transactions. This robust infrastructure and IT platform with e-commerce capabilities supports three different functional areas</w:t>
      </w:r>
    </w:p>
    <w:p>
      <w:pPr>
        <w:pStyle w:val="BodyText"/>
        <w:numPr>
          <w:ilvl w:val="1"/>
          <w:numId w:val="3"/>
        </w:numPr>
        <w:rPr/>
      </w:pPr>
      <w:r>
        <w:rPr/>
        <w:t>value added business intelligence capture,</w:t>
      </w:r>
    </w:p>
    <w:p>
      <w:pPr>
        <w:pStyle w:val="BodyText"/>
        <w:numPr>
          <w:ilvl w:val="1"/>
          <w:numId w:val="3"/>
        </w:numPr>
        <w:rPr/>
      </w:pPr>
      <w:r>
        <w:rPr/>
        <w:t>full featured B2B functionality (catalog-type procurement as well as RFP/RFQ and full auction capability), and</w:t>
      </w:r>
    </w:p>
    <w:p>
      <w:pPr>
        <w:pStyle w:val="BodyText"/>
        <w:numPr>
          <w:ilvl w:val="1"/>
          <w:numId w:val="3"/>
        </w:numPr>
        <w:rPr/>
      </w:pPr>
      <w:r>
        <w:rPr/>
        <w:t>strong, seamless integration capability with existing customer systems.</w:t>
      </w:r>
    </w:p>
    <w:p>
      <w:pPr>
        <w:pStyle w:val="BodyText"/>
        <w:ind w:start="360" w:end="0"/>
        <w:rPr/>
      </w:pPr>
      <w:r>
        <w:rPr/>
      </w:r>
    </w:p>
    <w:p>
      <w:pPr>
        <w:pStyle w:val="BodyText"/>
        <w:rPr>
          <w:b/>
          <w:bCs/>
        </w:rPr>
      </w:pPr>
      <w:r>
        <w:rPr>
          <w:b/>
          <w:bCs/>
        </w:rPr>
        <w:t>INFORMATION TECHNOLOGY</w:t>
      </w:r>
    </w:p>
    <w:p>
      <w:pPr>
        <w:pStyle w:val="BodyText"/>
        <w:rPr>
          <w:b/>
          <w:bCs/>
        </w:rPr>
      </w:pPr>
      <w:r>
        <w:rPr>
          <w:b/>
          <w:bCs/>
        </w:rPr>
      </w:r>
    </w:p>
    <w:p>
      <w:pPr>
        <w:pStyle w:val="BodyText"/>
        <w:rPr/>
      </w:pPr>
      <w:r>
        <w:rPr/>
        <w:t>The site employs the following key hardware and software:</w:t>
      </w:r>
    </w:p>
    <w:p>
      <w:pPr>
        <w:pStyle w:val="BodyText"/>
        <w:ind w:start="360" w:end="0"/>
        <w:rPr/>
      </w:pPr>
      <w:r>
        <w:rPr/>
      </w:r>
    </w:p>
    <w:p>
      <w:pPr>
        <w:pStyle w:val="BodyText"/>
        <w:numPr>
          <w:ilvl w:val="0"/>
          <w:numId w:val="5"/>
        </w:numPr>
        <w:rPr/>
      </w:pPr>
      <w:r>
        <w:rPr/>
        <w:t>Hardware (all owned by the Company):</w:t>
      </w:r>
    </w:p>
    <w:p>
      <w:pPr>
        <w:pStyle w:val="BodyText"/>
        <w:numPr>
          <w:ilvl w:val="1"/>
          <w:numId w:val="5"/>
        </w:numPr>
        <w:rPr/>
      </w:pPr>
      <w:r>
        <w:rPr/>
        <w:t>Sun Servers</w:t>
      </w:r>
    </w:p>
    <w:p>
      <w:pPr>
        <w:pStyle w:val="BodyText"/>
        <w:numPr>
          <w:ilvl w:val="2"/>
          <w:numId w:val="5"/>
        </w:numPr>
        <w:rPr/>
      </w:pPr>
      <w:r>
        <w:rPr/>
        <w:t>Sun 420 (3 Qty)</w:t>
      </w:r>
    </w:p>
    <w:p>
      <w:pPr>
        <w:pStyle w:val="BodyText"/>
        <w:numPr>
          <w:ilvl w:val="2"/>
          <w:numId w:val="5"/>
        </w:numPr>
        <w:rPr/>
      </w:pPr>
      <w:r>
        <w:rPr/>
        <w:t>Sun 450 (8 Qty)</w:t>
      </w:r>
    </w:p>
    <w:p>
      <w:pPr>
        <w:pStyle w:val="BodyText"/>
        <w:numPr>
          <w:ilvl w:val="1"/>
          <w:numId w:val="5"/>
        </w:numPr>
        <w:rPr/>
      </w:pPr>
      <w:r>
        <w:rPr/>
        <w:t>Dell Enterprise Servers (8 Qty)</w:t>
      </w:r>
    </w:p>
    <w:p>
      <w:pPr>
        <w:pStyle w:val="BodyText"/>
        <w:ind w:start="360" w:end="0"/>
        <w:rPr/>
      </w:pPr>
      <w:r>
        <w:rPr/>
      </w:r>
    </w:p>
    <w:p>
      <w:pPr>
        <w:pStyle w:val="BodyText"/>
        <w:numPr>
          <w:ilvl w:val="0"/>
          <w:numId w:val="5"/>
        </w:numPr>
        <w:rPr/>
      </w:pPr>
      <w:r>
        <w:rPr/>
        <w:t>Software:</w:t>
      </w:r>
    </w:p>
    <w:p>
      <w:pPr>
        <w:pStyle w:val="BodyText"/>
        <w:numPr>
          <w:ilvl w:val="1"/>
          <w:numId w:val="5"/>
        </w:numPr>
        <w:rPr/>
      </w:pPr>
      <w:r>
        <w:rPr/>
        <w:t>Portal Framework / Personalization (ATG)</w:t>
      </w:r>
    </w:p>
    <w:p>
      <w:pPr>
        <w:pStyle w:val="BodyText"/>
        <w:numPr>
          <w:ilvl w:val="1"/>
          <w:numId w:val="5"/>
        </w:numPr>
        <w:rPr/>
      </w:pPr>
      <w:r>
        <w:rPr/>
        <w:t>Content Management (Interwoven)</w:t>
      </w:r>
    </w:p>
    <w:p>
      <w:pPr>
        <w:pStyle w:val="BodyText"/>
        <w:numPr>
          <w:ilvl w:val="1"/>
          <w:numId w:val="5"/>
        </w:numPr>
        <w:rPr/>
      </w:pPr>
      <w:r>
        <w:rPr/>
        <w:t>Auction (Ariba Dynamic Trade 1.5.1/BEA Systems/WebLogic)</w:t>
      </w:r>
    </w:p>
    <w:p>
      <w:pPr>
        <w:pStyle w:val="BodyText"/>
        <w:numPr>
          <w:ilvl w:val="1"/>
          <w:numId w:val="5"/>
        </w:numPr>
        <w:rPr/>
      </w:pPr>
      <w:r>
        <w:rPr/>
        <w:t>Procurement (Ariba Marketplace 7.2 and BEA Systems/WebLogic) – Currently limited to the global “Water Products Vertical Market”; however, ability to procure three additional vertical marketplace licenses at value based pricing exists</w:t>
      </w:r>
    </w:p>
    <w:p>
      <w:pPr>
        <w:pStyle w:val="BodyText"/>
        <w:numPr>
          <w:ilvl w:val="1"/>
          <w:numId w:val="5"/>
        </w:numPr>
        <w:rPr/>
      </w:pPr>
      <w:r>
        <w:rPr/>
        <w:t xml:space="preserve">Supplier Catalog Search (Verity) </w:t>
      </w:r>
    </w:p>
    <w:p>
      <w:pPr>
        <w:pStyle w:val="BodyText"/>
        <w:numPr>
          <w:ilvl w:val="1"/>
          <w:numId w:val="5"/>
        </w:numPr>
        <w:rPr/>
      </w:pPr>
      <w:r>
        <w:rPr/>
        <w:t>Implemented Enterprise Application Integration Solution (Robust ERP Integration, multi-supplier catalog framework, flexible/scalable solution; MQSeries, New Era of Networks/NEON)</w:t>
      </w:r>
    </w:p>
    <w:p>
      <w:pPr>
        <w:pStyle w:val="BodyText"/>
        <w:numPr>
          <w:ilvl w:val="1"/>
          <w:numId w:val="5"/>
        </w:numPr>
        <w:rPr/>
      </w:pPr>
      <w:r>
        <w:rPr/>
        <w:t>Database and Drivers (Oracle Enterprise Server and Merant ODBC)</w:t>
      </w:r>
    </w:p>
    <w:p>
      <w:pPr>
        <w:pStyle w:val="BodyText"/>
        <w:numPr>
          <w:ilvl w:val="1"/>
          <w:numId w:val="5"/>
        </w:numPr>
        <w:rPr/>
      </w:pPr>
      <w:r>
        <w:rPr/>
        <w:t>Web &amp; Application Servers, Validation &amp; Security (Netscape Suitespot and EC Cubed/ECProfiler)</w:t>
      </w:r>
    </w:p>
    <w:p>
      <w:pPr>
        <w:pStyle w:val="BodyText"/>
        <w:numPr>
          <w:ilvl w:val="1"/>
          <w:numId w:val="5"/>
        </w:numPr>
        <w:rPr/>
      </w:pPr>
      <w:r>
        <w:rPr/>
        <w:t>Mail and Notes Forms (Intermail and Lotus Domino)</w:t>
      </w:r>
    </w:p>
    <w:p>
      <w:pPr>
        <w:pStyle w:val="BodyText"/>
        <w:numPr>
          <w:ilvl w:val="1"/>
          <w:numId w:val="5"/>
        </w:numPr>
        <w:rPr/>
      </w:pPr>
      <w:r>
        <w:rPr/>
        <w:t>Revision Control System (MKS Source Integrity)</w:t>
      </w:r>
    </w:p>
    <w:p>
      <w:pPr>
        <w:pStyle w:val="BodyText"/>
        <w:numPr>
          <w:ilvl w:val="1"/>
          <w:numId w:val="5"/>
        </w:numPr>
        <w:rPr/>
      </w:pPr>
      <w:r>
        <w:rPr/>
        <w:t>Load and Functional Testing (Loadrunner/Winrunner)</w:t>
      </w:r>
    </w:p>
    <w:p>
      <w:pPr>
        <w:pStyle w:val="Normal"/>
        <w:rPr>
          <w:sz w:val="24"/>
        </w:rPr>
      </w:pPr>
      <w:r>
        <w:rPr>
          <w:sz w:val="24"/>
        </w:rPr>
      </w:r>
    </w:p>
    <w:p>
      <w:pPr>
        <w:pStyle w:val="Normal"/>
        <w:rPr>
          <w:sz w:val="24"/>
        </w:rPr>
      </w:pPr>
      <w:r>
        <w:drawing>
          <wp:anchor behindDoc="1" distT="0" distB="0" distL="114935" distR="114935" simplePos="0" locked="0" layoutInCell="0" allowOverlap="1" relativeHeight="9">
            <wp:simplePos x="0" y="0"/>
            <wp:positionH relativeFrom="column">
              <wp:posOffset>4852035</wp:posOffset>
            </wp:positionH>
            <wp:positionV relativeFrom="paragraph">
              <wp:posOffset>18415</wp:posOffset>
            </wp:positionV>
            <wp:extent cx="1612265" cy="185166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 t="-9" r="-10" b="-9"/>
                    <a:stretch>
                      <a:fillRect/>
                    </a:stretch>
                  </pic:blipFill>
                  <pic:spPr bwMode="auto">
                    <a:xfrm>
                      <a:off x="0" y="0"/>
                      <a:ext cx="1612265" cy="1851660"/>
                    </a:xfrm>
                    <a:prstGeom prst="rect">
                      <a:avLst/>
                    </a:prstGeom>
                    <a:noFill/>
                  </pic:spPr>
                </pic:pic>
              </a:graphicData>
            </a:graphic>
          </wp:anchor>
        </w:drawing>
      </w:r>
      <w:r>
        <w:rPr>
          <w:sz w:val="24"/>
        </w:rPr>
        <w:t xml:space="preserve">The Company’s approach to success in the implementation of the e-business site involves providing robust capabilities in three different functional areas: value-added business intelligence capture; robust and full-featured B2B functionality; and strong, seamless integration capability with existing customer systems. In order to address these requirements, the Company's system features a combination of component architectures which provide a "plug-n'-play" integration approach.  The Company's site provides uniform access to "Best-of-Breed" applications and services and ensures that business events from one supplier/buyer application can engage any other supplier/buyer application.  Technically, these three business functions are captured in a layered architecture as: value-added portal services and functionality, the e-commerce center, and the B2B integration infrastructure.  </w:t>
      </w:r>
    </w:p>
    <w:p>
      <w:pPr>
        <w:pStyle w:val="Normal"/>
        <w:rPr>
          <w:sz w:val="24"/>
        </w:rPr>
      </w:pPr>
      <w:r>
        <w:rPr>
          <w:sz w:val="24"/>
        </w:rPr>
      </w:r>
    </w:p>
    <w:p>
      <w:pPr>
        <w:pStyle w:val="Heading3"/>
        <w:ind w:hanging="0" w:start="0"/>
        <w:rPr>
          <w:sz w:val="24"/>
        </w:rPr>
      </w:pPr>
      <w:r>
        <w:rPr>
          <w:sz w:val="24"/>
        </w:rPr>
        <w:t>Value-Added Portal Services and Functionality</w:t>
      </w:r>
    </w:p>
    <w:p>
      <w:pPr>
        <w:pStyle w:val="Normal"/>
        <w:rPr>
          <w:sz w:val="24"/>
        </w:rPr>
      </w:pPr>
      <w:r>
        <w:rPr>
          <w:sz w:val="24"/>
        </w:rPr>
      </w:r>
    </w:p>
    <w:p>
      <w:pPr>
        <w:pStyle w:val="BodyText"/>
        <w:rPr/>
      </w:pPr>
      <w:r>
        <w:rPr/>
        <w:t>These consist of the following features:</w:t>
      </w:r>
    </w:p>
    <w:p>
      <w:pPr>
        <w:pStyle w:val="Normal"/>
        <w:rPr>
          <w:sz w:val="24"/>
        </w:rPr>
      </w:pPr>
      <w:r>
        <w:rPr>
          <w:sz w:val="24"/>
        </w:rPr>
      </w:r>
    </w:p>
    <w:p>
      <w:pPr>
        <w:pStyle w:val="Normal"/>
        <w:numPr>
          <w:ilvl w:val="0"/>
          <w:numId w:val="10"/>
        </w:numPr>
        <w:tabs>
          <w:tab w:val="clear" w:pos="720"/>
        </w:tabs>
        <w:rPr>
          <w:sz w:val="24"/>
        </w:rPr>
      </w:pPr>
      <w:r>
        <w:rPr>
          <w:sz w:val="24"/>
          <w:u w:val="single"/>
        </w:rPr>
        <w:t>Segmentation and Content targeting</w:t>
      </w:r>
      <w:r>
        <w:rPr>
          <w:sz w:val="24"/>
        </w:rPr>
        <w:t xml:space="preserve">: Customers can chose functional areas of the site related to the business tasks at hand, whether that be purchasing equipment, arranging auctions, or requesting quotes. Buyers are directed by profile information to those catalogs and suppliers that are specifically related to their own business, industry, or trade agreements. </w:t>
      </w:r>
    </w:p>
    <w:p>
      <w:pPr>
        <w:pStyle w:val="Normal"/>
        <w:numPr>
          <w:ilvl w:val="0"/>
          <w:numId w:val="10"/>
        </w:numPr>
        <w:tabs>
          <w:tab w:val="clear" w:pos="720"/>
        </w:tabs>
        <w:rPr>
          <w:sz w:val="24"/>
        </w:rPr>
      </w:pPr>
      <w:r>
        <w:rPr>
          <w:sz w:val="24"/>
          <w:u w:val="single"/>
        </w:rPr>
        <w:t>Personalization /Mail</w:t>
      </w:r>
      <w:r>
        <w:rPr>
          <w:sz w:val="24"/>
        </w:rPr>
        <w:t>: Profile information is retained which ensures that shipping addresses, fax information, email addresses, and preferences for news and weather are all known from previous sessions. Email capabilities are offered to registered users as a service.</w:t>
      </w:r>
    </w:p>
    <w:p>
      <w:pPr>
        <w:pStyle w:val="Normal"/>
        <w:numPr>
          <w:ilvl w:val="0"/>
          <w:numId w:val="10"/>
        </w:numPr>
        <w:tabs>
          <w:tab w:val="clear" w:pos="720"/>
        </w:tabs>
        <w:rPr>
          <w:sz w:val="24"/>
        </w:rPr>
      </w:pPr>
      <w:r>
        <w:rPr>
          <w:sz w:val="24"/>
          <w:u w:val="single"/>
        </w:rPr>
        <w:t>Behavior Patterns Capture</w:t>
      </w:r>
      <w:r>
        <w:rPr>
          <w:sz w:val="24"/>
        </w:rPr>
        <w:t>: Software on the web site captures key information about browsing habits, buying habits, and preferences.</w:t>
      </w:r>
    </w:p>
    <w:p>
      <w:pPr>
        <w:pStyle w:val="Normal"/>
        <w:numPr>
          <w:ilvl w:val="0"/>
          <w:numId w:val="10"/>
        </w:numPr>
        <w:tabs>
          <w:tab w:val="clear" w:pos="720"/>
        </w:tabs>
        <w:rPr>
          <w:sz w:val="24"/>
        </w:rPr>
      </w:pPr>
      <w:r>
        <w:rPr>
          <w:sz w:val="24"/>
          <w:u w:val="single"/>
        </w:rPr>
        <w:t>Content Management and Search Tools</w:t>
      </w:r>
      <w:r>
        <w:rPr>
          <w:sz w:val="24"/>
        </w:rPr>
        <w:t>: Customers can search for news content, catalog content, and journal content concerning the water industry.</w:t>
      </w:r>
    </w:p>
    <w:p>
      <w:pPr>
        <w:pStyle w:val="Normal"/>
        <w:numPr>
          <w:ilvl w:val="0"/>
          <w:numId w:val="10"/>
        </w:numPr>
        <w:tabs>
          <w:tab w:val="clear" w:pos="720"/>
        </w:tabs>
        <w:rPr>
          <w:sz w:val="24"/>
        </w:rPr>
      </w:pPr>
      <w:r>
        <w:rPr>
          <w:sz w:val="24"/>
          <w:u w:val="single"/>
        </w:rPr>
        <w:t>WEB/HTML/XML Publishing</w:t>
      </w:r>
      <w:r>
        <w:rPr>
          <w:sz w:val="24"/>
        </w:rPr>
        <w:t>: Implemented tools on the site allow the Company to update content quickly so that news, journal articles, and helpful information are always current.</w:t>
      </w:r>
    </w:p>
    <w:p>
      <w:pPr>
        <w:pStyle w:val="Normal"/>
        <w:rPr>
          <w:sz w:val="24"/>
        </w:rPr>
      </w:pPr>
      <w:r>
        <w:rPr>
          <w:sz w:val="24"/>
        </w:rPr>
      </w:r>
    </w:p>
    <w:p>
      <w:pPr>
        <w:pStyle w:val="Heading3"/>
        <w:ind w:hanging="0" w:start="0"/>
        <w:rPr>
          <w:sz w:val="24"/>
        </w:rPr>
      </w:pPr>
      <w:r>
        <w:rPr>
          <w:sz w:val="24"/>
        </w:rPr>
        <w:t>E-Commerce Center</w:t>
      </w:r>
    </w:p>
    <w:p>
      <w:pPr>
        <w:pStyle w:val="Normal"/>
        <w:rPr>
          <w:sz w:val="24"/>
        </w:rPr>
      </w:pPr>
      <w:r>
        <w:rPr>
          <w:sz w:val="24"/>
        </w:rPr>
      </w:r>
    </w:p>
    <w:p>
      <w:pPr>
        <w:pStyle w:val="BodyText"/>
        <w:rPr/>
      </w:pPr>
      <w:r>
        <w:rPr/>
        <w:t>This functional layer is the “meat” of the buyer/supplier brokerage implementation. It consist of three specific business functional layers:</w:t>
      </w:r>
    </w:p>
    <w:p>
      <w:pPr>
        <w:pStyle w:val="Normal"/>
        <w:ind w:start="360" w:end="0"/>
        <w:rPr>
          <w:sz w:val="24"/>
        </w:rPr>
      </w:pPr>
      <w:r>
        <w:rPr>
          <w:sz w:val="24"/>
        </w:rPr>
        <w:t xml:space="preserve"> </w:t>
      </w:r>
    </w:p>
    <w:p>
      <w:pPr>
        <w:pStyle w:val="Normal"/>
        <w:numPr>
          <w:ilvl w:val="0"/>
          <w:numId w:val="9"/>
        </w:numPr>
        <w:rPr>
          <w:sz w:val="24"/>
        </w:rPr>
      </w:pPr>
      <w:r>
        <w:rPr>
          <w:sz w:val="24"/>
          <w:u w:val="single"/>
        </w:rPr>
        <w:t>Marketplace Administration</w:t>
      </w:r>
      <w:r>
        <w:rPr>
          <w:sz w:val="24"/>
        </w:rPr>
        <w:t>: this functionality supports the addition of corporate entities, the addition of individuals as representatives of their appropriate corporate entities, and the definition of allowable functionality in respect to buyer or supplier roles.</w:t>
      </w:r>
    </w:p>
    <w:p>
      <w:pPr>
        <w:pStyle w:val="Normal"/>
        <w:numPr>
          <w:ilvl w:val="0"/>
          <w:numId w:val="13"/>
        </w:numPr>
        <w:rPr>
          <w:sz w:val="24"/>
        </w:rPr>
      </w:pPr>
      <w:r>
        <w:drawing>
          <wp:anchor behindDoc="0" distT="0" distB="0" distL="114935" distR="114935" simplePos="0" locked="0" layoutInCell="0" allowOverlap="1" relativeHeight="11">
            <wp:simplePos x="0" y="0"/>
            <wp:positionH relativeFrom="column">
              <wp:posOffset>2566035</wp:posOffset>
            </wp:positionH>
            <wp:positionV relativeFrom="paragraph">
              <wp:posOffset>132715</wp:posOffset>
            </wp:positionV>
            <wp:extent cx="3377565" cy="2203450"/>
            <wp:effectExtent l="0" t="0" r="0" b="0"/>
            <wp:wrapSquare wrapText="bothSides"/>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6" r="-4" b="-6"/>
                    <a:stretch>
                      <a:fillRect/>
                    </a:stretch>
                  </pic:blipFill>
                  <pic:spPr bwMode="auto">
                    <a:xfrm>
                      <a:off x="0" y="0"/>
                      <a:ext cx="3377565" cy="2203450"/>
                    </a:xfrm>
                    <a:prstGeom prst="rect">
                      <a:avLst/>
                    </a:prstGeom>
                    <a:noFill/>
                  </pic:spPr>
                </pic:pic>
              </a:graphicData>
            </a:graphic>
          </wp:anchor>
        </w:drawing>
      </w:r>
      <w:r>
        <w:rPr>
          <w:sz w:val="24"/>
          <w:u w:val="single"/>
        </w:rPr>
        <w:t>Market Making Mechanisms</w:t>
      </w:r>
      <w:r>
        <w:rPr>
          <w:sz w:val="24"/>
        </w:rPr>
        <w:t>: this functionality allows customers to provide catalog content, to provide both general and special pricing arrangements, and to construct and participate in auctions.</w:t>
      </w:r>
    </w:p>
    <w:p>
      <w:pPr>
        <w:pStyle w:val="Normal"/>
        <w:numPr>
          <w:ilvl w:val="0"/>
          <w:numId w:val="13"/>
        </w:numPr>
        <w:rPr>
          <w:sz w:val="24"/>
        </w:rPr>
      </w:pPr>
      <w:r>
        <w:rPr>
          <w:sz w:val="24"/>
          <w:u w:val="single"/>
        </w:rPr>
        <w:t>Commerce Process Framework</w:t>
      </w:r>
      <w:r>
        <w:rPr>
          <w:sz w:val="24"/>
        </w:rPr>
        <w:t>: this supports the end-to-end commerce process, fully integrating buyer and supplier functionality. This functionality is characterized by:</w:t>
      </w:r>
    </w:p>
    <w:p>
      <w:pPr>
        <w:pStyle w:val="Normal"/>
        <w:numPr>
          <w:ilvl w:val="0"/>
          <w:numId w:val="11"/>
        </w:numPr>
        <w:tabs>
          <w:tab w:val="clear" w:pos="720"/>
        </w:tabs>
        <w:ind w:hanging="360" w:start="720" w:end="0"/>
        <w:rPr>
          <w:sz w:val="24"/>
        </w:rPr>
      </w:pPr>
      <w:r>
        <w:rPr>
          <w:sz w:val="24"/>
        </w:rPr>
        <w:t>Catalog searching</w:t>
      </w:r>
    </w:p>
    <w:p>
      <w:pPr>
        <w:pStyle w:val="Normal"/>
        <w:numPr>
          <w:ilvl w:val="0"/>
          <w:numId w:val="11"/>
        </w:numPr>
        <w:tabs>
          <w:tab w:val="clear" w:pos="720"/>
        </w:tabs>
        <w:ind w:hanging="360" w:start="720" w:end="0"/>
        <w:rPr>
          <w:sz w:val="24"/>
        </w:rPr>
      </w:pPr>
      <w:r>
        <w:rPr>
          <w:sz w:val="24"/>
        </w:rPr>
        <w:t>Request for Quotations</w:t>
      </w:r>
    </w:p>
    <w:p>
      <w:pPr>
        <w:pStyle w:val="Normal"/>
        <w:numPr>
          <w:ilvl w:val="0"/>
          <w:numId w:val="11"/>
        </w:numPr>
        <w:tabs>
          <w:tab w:val="clear" w:pos="720"/>
        </w:tabs>
        <w:ind w:hanging="360" w:start="720" w:end="0"/>
        <w:rPr>
          <w:sz w:val="24"/>
        </w:rPr>
      </w:pPr>
      <w:r>
        <w:rPr>
          <w:sz w:val="24"/>
        </w:rPr>
        <w:t>Off-Catalog requests</w:t>
      </w:r>
    </w:p>
    <w:p>
      <w:pPr>
        <w:pStyle w:val="Normal"/>
        <w:numPr>
          <w:ilvl w:val="0"/>
          <w:numId w:val="11"/>
        </w:numPr>
        <w:tabs>
          <w:tab w:val="clear" w:pos="720"/>
        </w:tabs>
        <w:ind w:hanging="360" w:start="720" w:end="0"/>
        <w:rPr>
          <w:sz w:val="24"/>
        </w:rPr>
      </w:pPr>
      <w:r>
        <w:rPr>
          <w:sz w:val="24"/>
        </w:rPr>
        <w:t>Requisition and order management</w:t>
      </w:r>
    </w:p>
    <w:p>
      <w:pPr>
        <w:pStyle w:val="Normal"/>
        <w:numPr>
          <w:ilvl w:val="0"/>
          <w:numId w:val="11"/>
        </w:numPr>
        <w:tabs>
          <w:tab w:val="clear" w:pos="720"/>
        </w:tabs>
        <w:ind w:hanging="360" w:start="720" w:end="0"/>
        <w:rPr>
          <w:sz w:val="24"/>
        </w:rPr>
      </w:pPr>
      <w:r>
        <w:rPr>
          <w:sz w:val="24"/>
        </w:rPr>
        <w:t>Real-time tracking and receiving</w:t>
      </w:r>
    </w:p>
    <w:p>
      <w:pPr>
        <w:pStyle w:val="Normal"/>
        <w:numPr>
          <w:ilvl w:val="0"/>
          <w:numId w:val="11"/>
        </w:numPr>
        <w:tabs>
          <w:tab w:val="clear" w:pos="720"/>
        </w:tabs>
        <w:ind w:hanging="360" w:start="720" w:end="0"/>
        <w:rPr>
          <w:sz w:val="24"/>
        </w:rPr>
      </w:pPr>
      <w:r>
        <w:rPr>
          <w:sz w:val="24"/>
        </w:rPr>
        <w:t>On-line order fulfillment, automatic billing and invoicing</w:t>
      </w:r>
    </w:p>
    <w:p>
      <w:pPr>
        <w:pStyle w:val="Normal"/>
        <w:numPr>
          <w:ilvl w:val="0"/>
          <w:numId w:val="11"/>
        </w:numPr>
        <w:tabs>
          <w:tab w:val="clear" w:pos="720"/>
        </w:tabs>
        <w:ind w:hanging="360" w:start="720" w:end="0"/>
        <w:rPr>
          <w:sz w:val="24"/>
        </w:rPr>
      </w:pPr>
      <w:r>
        <w:rPr>
          <w:sz w:val="24"/>
        </w:rPr>
        <w:t>Integrated ERP connectors (EDI, XML, fax, e-mail)</w:t>
      </w:r>
    </w:p>
    <w:p>
      <w:pPr>
        <w:pStyle w:val="Normal"/>
        <w:rPr>
          <w:sz w:val="24"/>
        </w:rPr>
      </w:pPr>
      <w:r>
        <w:rPr>
          <w:sz w:val="24"/>
        </w:rPr>
      </w:r>
    </w:p>
    <w:p>
      <w:pPr>
        <w:pStyle w:val="BodyText"/>
        <w:rPr/>
      </w:pPr>
      <w:r>
        <w:rPr/>
        <w:t>Waterdesk is currently using two Ariba products, Marketplace and Dynamic Trade, as key business function engines in the architecture. The built-in administrative functions provided by these products allow Waterdesk to:</w:t>
      </w:r>
    </w:p>
    <w:p>
      <w:pPr>
        <w:pStyle w:val="Normal"/>
        <w:ind w:start="720" w:end="0"/>
        <w:rPr>
          <w:sz w:val="24"/>
        </w:rPr>
      </w:pPr>
      <w:r>
        <w:rPr>
          <w:sz w:val="24"/>
        </w:rPr>
      </w:r>
    </w:p>
    <w:p>
      <w:pPr>
        <w:pStyle w:val="Normal"/>
        <w:numPr>
          <w:ilvl w:val="0"/>
          <w:numId w:val="7"/>
        </w:numPr>
        <w:rPr>
          <w:sz w:val="24"/>
        </w:rPr>
      </w:pPr>
      <w:r>
        <w:rPr>
          <w:sz w:val="24"/>
        </w:rPr>
        <w:t>Add Buyer Corporations</w:t>
      </w:r>
    </w:p>
    <w:p>
      <w:pPr>
        <w:pStyle w:val="Normal"/>
        <w:numPr>
          <w:ilvl w:val="0"/>
          <w:numId w:val="7"/>
        </w:numPr>
        <w:rPr>
          <w:sz w:val="24"/>
        </w:rPr>
      </w:pPr>
      <w:r>
        <w:rPr>
          <w:sz w:val="24"/>
        </w:rPr>
        <w:t>Add individual buyers</w:t>
      </w:r>
    </w:p>
    <w:p>
      <w:pPr>
        <w:pStyle w:val="Normal"/>
        <w:numPr>
          <w:ilvl w:val="0"/>
          <w:numId w:val="7"/>
        </w:numPr>
        <w:rPr>
          <w:sz w:val="24"/>
        </w:rPr>
      </w:pPr>
      <w:r>
        <w:rPr>
          <w:sz w:val="24"/>
        </w:rPr>
        <w:t>Add Supplier Corporations</w:t>
      </w:r>
    </w:p>
    <w:p>
      <w:pPr>
        <w:pStyle w:val="Normal"/>
        <w:numPr>
          <w:ilvl w:val="0"/>
          <w:numId w:val="7"/>
        </w:numPr>
        <w:rPr>
          <w:sz w:val="24"/>
        </w:rPr>
      </w:pPr>
      <w:r>
        <w:rPr>
          <w:sz w:val="24"/>
        </w:rPr>
        <w:t>Define buyer and supplier permissions, authorities, and workflow</w:t>
      </w:r>
    </w:p>
    <w:p>
      <w:pPr>
        <w:pStyle w:val="Normal"/>
        <w:numPr>
          <w:ilvl w:val="0"/>
          <w:numId w:val="7"/>
        </w:numPr>
        <w:rPr>
          <w:sz w:val="24"/>
        </w:rPr>
      </w:pPr>
      <w:r>
        <w:rPr>
          <w:sz w:val="24"/>
        </w:rPr>
        <w:t>Import catalogs</w:t>
      </w:r>
    </w:p>
    <w:p>
      <w:pPr>
        <w:pStyle w:val="Normal"/>
        <w:numPr>
          <w:ilvl w:val="0"/>
          <w:numId w:val="7"/>
        </w:numPr>
        <w:rPr>
          <w:sz w:val="24"/>
        </w:rPr>
      </w:pPr>
      <w:r>
        <w:rPr>
          <w:sz w:val="24"/>
        </w:rPr>
        <w:t>Define auctions parameters</w:t>
      </w:r>
    </w:p>
    <w:p>
      <w:pPr>
        <w:pStyle w:val="Normal"/>
        <w:numPr>
          <w:ilvl w:val="0"/>
          <w:numId w:val="7"/>
        </w:numPr>
        <w:rPr>
          <w:sz w:val="24"/>
        </w:rPr>
      </w:pPr>
      <w:r>
        <w:rPr>
          <w:sz w:val="24"/>
        </w:rPr>
        <w:t>Monitor supported auctions</w:t>
      </w:r>
    </w:p>
    <w:p>
      <w:pPr>
        <w:pStyle w:val="Normal"/>
        <w:ind w:start="360" w:end="0"/>
        <w:rPr>
          <w:sz w:val="24"/>
        </w:rPr>
      </w:pPr>
      <w:r>
        <w:rPr>
          <w:sz w:val="24"/>
        </w:rPr>
      </w:r>
    </w:p>
    <w:p>
      <w:pPr>
        <w:pStyle w:val="BodyText"/>
        <w:rPr/>
      </w:pPr>
      <w:r>
        <w:rPr/>
        <w:t>The functionality extended to supplier corporations allows suppliers to:</w:t>
      </w:r>
    </w:p>
    <w:p>
      <w:pPr>
        <w:pStyle w:val="Normal"/>
        <w:ind w:start="360" w:end="0"/>
        <w:rPr>
          <w:sz w:val="24"/>
        </w:rPr>
      </w:pPr>
      <w:r>
        <w:rPr>
          <w:sz w:val="24"/>
        </w:rPr>
      </w:r>
    </w:p>
    <w:p>
      <w:pPr>
        <w:pStyle w:val="Normal"/>
        <w:numPr>
          <w:ilvl w:val="0"/>
          <w:numId w:val="7"/>
        </w:numPr>
        <w:rPr>
          <w:sz w:val="24"/>
        </w:rPr>
      </w:pPr>
      <w:r>
        <w:rPr>
          <w:sz w:val="24"/>
        </w:rPr>
        <w:t>Modify catalogs</w:t>
      </w:r>
    </w:p>
    <w:p>
      <w:pPr>
        <w:pStyle w:val="Normal"/>
        <w:numPr>
          <w:ilvl w:val="0"/>
          <w:numId w:val="7"/>
        </w:numPr>
        <w:rPr>
          <w:sz w:val="24"/>
        </w:rPr>
      </w:pPr>
      <w:r>
        <w:rPr>
          <w:sz w:val="24"/>
        </w:rPr>
        <w:t>Accept purchase orders</w:t>
      </w:r>
    </w:p>
    <w:p>
      <w:pPr>
        <w:pStyle w:val="Normal"/>
        <w:numPr>
          <w:ilvl w:val="0"/>
          <w:numId w:val="7"/>
        </w:numPr>
        <w:rPr>
          <w:sz w:val="24"/>
        </w:rPr>
      </w:pPr>
      <w:r>
        <w:rPr>
          <w:sz w:val="24"/>
        </w:rPr>
        <w:t>Complete status on orders shipped</w:t>
      </w:r>
    </w:p>
    <w:p>
      <w:pPr>
        <w:pStyle w:val="Normal"/>
        <w:ind w:start="360" w:end="0"/>
        <w:rPr>
          <w:sz w:val="24"/>
        </w:rPr>
      </w:pPr>
      <w:r>
        <w:rPr>
          <w:sz w:val="24"/>
        </w:rPr>
      </w:r>
    </w:p>
    <w:p>
      <w:pPr>
        <w:pStyle w:val="BodyText"/>
        <w:rPr/>
      </w:pPr>
      <w:r>
        <w:rPr/>
        <w:t xml:space="preserve">The functionality extended to buyer corporations allows buyers to: </w:t>
      </w:r>
    </w:p>
    <w:p>
      <w:pPr>
        <w:pStyle w:val="Normal"/>
        <w:ind w:start="360" w:end="0"/>
        <w:rPr>
          <w:sz w:val="24"/>
        </w:rPr>
      </w:pPr>
      <w:r>
        <w:rPr>
          <w:sz w:val="24"/>
        </w:rPr>
      </w:r>
    </w:p>
    <w:p>
      <w:pPr>
        <w:pStyle w:val="Normal"/>
        <w:numPr>
          <w:ilvl w:val="0"/>
          <w:numId w:val="7"/>
        </w:numPr>
        <w:rPr>
          <w:sz w:val="24"/>
        </w:rPr>
      </w:pPr>
      <w:r>
        <w:rPr>
          <w:sz w:val="24"/>
        </w:rPr>
        <w:t>Add individual buyers to the list of authorized representatives</w:t>
      </w:r>
    </w:p>
    <w:p>
      <w:pPr>
        <w:pStyle w:val="Normal"/>
        <w:numPr>
          <w:ilvl w:val="0"/>
          <w:numId w:val="7"/>
        </w:numPr>
        <w:rPr>
          <w:sz w:val="24"/>
        </w:rPr>
      </w:pPr>
      <w:r>
        <w:rPr>
          <w:sz w:val="24"/>
        </w:rPr>
        <w:t>Create workflow routines for approval of individuals actions</w:t>
      </w:r>
    </w:p>
    <w:p>
      <w:pPr>
        <w:pStyle w:val="Normal"/>
        <w:numPr>
          <w:ilvl w:val="0"/>
          <w:numId w:val="7"/>
        </w:numPr>
        <w:rPr>
          <w:sz w:val="24"/>
        </w:rPr>
      </w:pPr>
      <w:r>
        <w:rPr>
          <w:sz w:val="24"/>
        </w:rPr>
        <w:t>Browse supplier catalogs using Marketplace</w:t>
      </w:r>
    </w:p>
    <w:p>
      <w:pPr>
        <w:pStyle w:val="Normal"/>
        <w:numPr>
          <w:ilvl w:val="0"/>
          <w:numId w:val="7"/>
        </w:numPr>
        <w:rPr>
          <w:sz w:val="24"/>
        </w:rPr>
      </w:pPr>
      <w:r>
        <w:rPr>
          <w:sz w:val="24"/>
        </w:rPr>
        <w:t>Initiate requisitions from the catalog within Marketplace</w:t>
      </w:r>
    </w:p>
    <w:p>
      <w:pPr>
        <w:pStyle w:val="Normal"/>
        <w:numPr>
          <w:ilvl w:val="0"/>
          <w:numId w:val="7"/>
        </w:numPr>
        <w:rPr>
          <w:sz w:val="24"/>
        </w:rPr>
      </w:pPr>
      <w:r>
        <w:rPr>
          <w:sz w:val="24"/>
        </w:rPr>
        <w:t>Have requisitions within Marketplace approved by buyer management</w:t>
      </w:r>
    </w:p>
    <w:p>
      <w:pPr>
        <w:pStyle w:val="Normal"/>
        <w:numPr>
          <w:ilvl w:val="0"/>
          <w:numId w:val="7"/>
        </w:numPr>
        <w:rPr>
          <w:sz w:val="24"/>
        </w:rPr>
      </w:pPr>
      <w:r>
        <w:rPr>
          <w:sz w:val="24"/>
        </w:rPr>
        <w:t>Have the approved requisitions become purchase orders sent to suppliers</w:t>
      </w:r>
    </w:p>
    <w:p>
      <w:pPr>
        <w:pStyle w:val="Normal"/>
        <w:ind w:start="360" w:end="0"/>
        <w:rPr>
          <w:sz w:val="24"/>
        </w:rPr>
      </w:pPr>
      <w:r>
        <w:rPr>
          <w:sz w:val="24"/>
        </w:rPr>
      </w:r>
    </w:p>
    <w:p>
      <w:pPr>
        <w:pStyle w:val="BodyText"/>
        <w:rPr>
          <w:b/>
        </w:rPr>
      </w:pPr>
      <w:r>
        <w:rPr/>
        <w:t>Information and details from a completed Dynamic Trade transaction will be passed through to Marketplace to complete the commerce process</w:t>
      </w:r>
    </w:p>
    <w:p>
      <w:pPr>
        <w:pStyle w:val="Normal"/>
        <w:rPr>
          <w:b/>
          <w:sz w:val="24"/>
        </w:rPr>
      </w:pPr>
      <w:r>
        <w:rPr>
          <w:b/>
          <w:sz w:val="24"/>
        </w:rPr>
      </w:r>
    </w:p>
    <w:p>
      <w:pPr>
        <w:pStyle w:val="Heading1"/>
        <w:ind w:hanging="0" w:start="0"/>
        <w:rPr>
          <w:sz w:val="24"/>
        </w:rPr>
      </w:pPr>
      <w:r>
        <w:rPr>
          <w:sz w:val="24"/>
        </w:rPr>
        <w:t>B2B Integration Infrastructure</w:t>
      </w:r>
    </w:p>
    <w:p>
      <w:pPr>
        <w:pStyle w:val="Normal"/>
        <w:rPr>
          <w:sz w:val="24"/>
        </w:rPr>
      </w:pPr>
      <w:r>
        <w:rPr>
          <w:sz w:val="24"/>
        </w:rPr>
      </w:r>
    </w:p>
    <w:tbl>
      <w:tblPr>
        <w:tblW w:w="8010" w:type="dxa"/>
        <w:jc w:val="start"/>
        <w:tblInd w:w="828" w:type="dxa"/>
        <w:tblLayout w:type="fixed"/>
        <w:tblCellMar>
          <w:top w:w="0" w:type="dxa"/>
          <w:start w:w="108" w:type="dxa"/>
          <w:bottom w:w="0" w:type="dxa"/>
          <w:end w:w="108" w:type="dxa"/>
        </w:tblCellMar>
      </w:tblPr>
      <w:tblGrid>
        <w:gridCol w:w="5940"/>
        <w:gridCol w:w="2070"/>
      </w:tblGrid>
      <w:tr>
        <w:trPr/>
        <w:tc>
          <w:tcPr>
            <w:tcW w:w="5940" w:type="dxa"/>
            <w:tcBorders>
              <w:top w:val="single" w:sz="4" w:space="0" w:color="000000"/>
              <w:start w:val="single" w:sz="4" w:space="0" w:color="000000"/>
              <w:bottom w:val="single" w:sz="4" w:space="0" w:color="000000"/>
              <w:end w:val="single" w:sz="4" w:space="0" w:color="000000"/>
            </w:tcBorders>
            <w:shd w:fill="0000FF" w:val="clear"/>
          </w:tcPr>
          <w:p>
            <w:pPr>
              <w:pStyle w:val="Normal"/>
              <w:jc w:val="center"/>
              <w:rPr>
                <w:color w:val="FFFFFF"/>
                <w:sz w:val="22"/>
              </w:rPr>
            </w:pPr>
            <w:r>
              <w:rPr>
                <w:color w:val="FFFFFF"/>
                <w:sz w:val="22"/>
              </w:rPr>
              <w:t>INFRASTRUCTURE FUNCTIONALITY</w:t>
            </w:r>
          </w:p>
        </w:tc>
        <w:tc>
          <w:tcPr>
            <w:tcW w:w="2070" w:type="dxa"/>
            <w:tcBorders>
              <w:top w:val="single" w:sz="4" w:space="0" w:color="000000"/>
              <w:start w:val="single" w:sz="4" w:space="0" w:color="000000"/>
              <w:bottom w:val="single" w:sz="4" w:space="0" w:color="000000"/>
              <w:end w:val="single" w:sz="4" w:space="0" w:color="000000"/>
            </w:tcBorders>
            <w:shd w:fill="0000FF" w:val="clear"/>
          </w:tcPr>
          <w:p>
            <w:pPr>
              <w:pStyle w:val="Normal"/>
              <w:rPr>
                <w:color w:val="FFFFFF"/>
                <w:sz w:val="22"/>
              </w:rPr>
            </w:pPr>
            <w:r>
              <w:rPr>
                <w:color w:val="FFFFFF"/>
                <w:sz w:val="22"/>
              </w:rPr>
              <w:t xml:space="preserve">STANDARDS: </w:t>
            </w:r>
          </w:p>
        </w:tc>
      </w:tr>
      <w:tr>
        <w:trPr/>
        <w:tc>
          <w:tcPr>
            <w:tcW w:w="5940" w:type="dxa"/>
            <w:tcBorders>
              <w:top w:val="single" w:sz="4" w:space="0" w:color="000000"/>
              <w:start w:val="single" w:sz="4" w:space="0" w:color="000000"/>
              <w:bottom w:val="single" w:sz="4" w:space="0" w:color="000000"/>
              <w:end w:val="single" w:sz="4" w:space="0" w:color="000000"/>
            </w:tcBorders>
            <w:shd w:fill="00FFFF" w:val="clear"/>
          </w:tcPr>
          <w:p>
            <w:pPr>
              <w:pStyle w:val="Normal"/>
              <w:jc w:val="center"/>
              <w:rPr>
                <w:sz w:val="22"/>
              </w:rPr>
            </w:pPr>
            <w:r>
              <w:rPr>
                <w:sz w:val="22"/>
              </w:rPr>
              <w:t>NETWORK ADMINISTRATION ARCHITECTURE</w:t>
            </w:r>
          </w:p>
        </w:tc>
        <w:tc>
          <w:tcPr>
            <w:tcW w:w="2070" w:type="dxa"/>
            <w:vMerge w:val="restart"/>
            <w:tcBorders>
              <w:top w:val="single" w:sz="4" w:space="0" w:color="000000"/>
              <w:start w:val="single" w:sz="4" w:space="0" w:color="000000"/>
              <w:bottom w:val="single" w:sz="4" w:space="0" w:color="000000"/>
              <w:end w:val="single" w:sz="4" w:space="0" w:color="000000"/>
            </w:tcBorders>
            <w:shd w:fill="008080" w:val="clear"/>
          </w:tcPr>
          <w:p>
            <w:pPr>
              <w:pStyle w:val="Normal"/>
              <w:rPr>
                <w:sz w:val="22"/>
              </w:rPr>
            </w:pPr>
            <w:r>
              <w:rPr>
                <w:sz w:val="22"/>
              </w:rPr>
              <w:t>J2EE, XML, HTML, HTTP, SSL, DNS, SMTP, LDAP, POP, MIME, IMAP, SMIME, X509</w:t>
            </w:r>
          </w:p>
        </w:tc>
      </w:tr>
      <w:tr>
        <w:trPr/>
        <w:tc>
          <w:tcPr>
            <w:tcW w:w="5940" w:type="dxa"/>
            <w:tcBorders>
              <w:top w:val="single" w:sz="4" w:space="0" w:color="000000"/>
              <w:start w:val="single" w:sz="4" w:space="0" w:color="000000"/>
              <w:bottom w:val="single" w:sz="4" w:space="0" w:color="000000"/>
              <w:end w:val="single" w:sz="4" w:space="0" w:color="000000"/>
            </w:tcBorders>
            <w:shd w:fill="00FFFF" w:val="clear"/>
          </w:tcPr>
          <w:p>
            <w:pPr>
              <w:pStyle w:val="Normal"/>
              <w:jc w:val="center"/>
              <w:rPr>
                <w:sz w:val="22"/>
              </w:rPr>
            </w:pPr>
            <w:r>
              <w:rPr>
                <w:sz w:val="22"/>
              </w:rPr>
              <w:t>STANDARD “ENVELOPE” FOR DATA EXCHANGE</w:t>
            </w:r>
          </w:p>
        </w:tc>
        <w:tc>
          <w:tcPr>
            <w:tcW w:w="2070" w:type="dxa"/>
            <w:vMerge w:val="continue"/>
            <w:tcBorders>
              <w:top w:val="single" w:sz="4" w:space="0" w:color="000000"/>
              <w:start w:val="single" w:sz="4" w:space="0" w:color="000000"/>
              <w:bottom w:val="single" w:sz="4" w:space="0" w:color="000000"/>
              <w:end w:val="single" w:sz="4" w:space="0" w:color="000000"/>
            </w:tcBorders>
            <w:shd w:fill="008080" w:val="clear"/>
          </w:tcPr>
          <w:p>
            <w:pPr>
              <w:pStyle w:val="Normal"/>
              <w:snapToGrid w:val="false"/>
              <w:rPr>
                <w:sz w:val="22"/>
              </w:rPr>
            </w:pPr>
            <w:r>
              <w:rPr>
                <w:sz w:val="22"/>
              </w:rPr>
            </w:r>
          </w:p>
        </w:tc>
      </w:tr>
      <w:tr>
        <w:trPr/>
        <w:tc>
          <w:tcPr>
            <w:tcW w:w="5940" w:type="dxa"/>
            <w:tcBorders>
              <w:top w:val="single" w:sz="4" w:space="0" w:color="000000"/>
              <w:start w:val="single" w:sz="4" w:space="0" w:color="000000"/>
              <w:bottom w:val="single" w:sz="4" w:space="0" w:color="000000"/>
              <w:end w:val="single" w:sz="4" w:space="0" w:color="000000"/>
            </w:tcBorders>
            <w:shd w:fill="00FFFF" w:val="clear"/>
          </w:tcPr>
          <w:p>
            <w:pPr>
              <w:pStyle w:val="Normal"/>
              <w:jc w:val="center"/>
              <w:rPr>
                <w:sz w:val="22"/>
              </w:rPr>
            </w:pPr>
            <w:r>
              <w:rPr>
                <w:sz w:val="22"/>
              </w:rPr>
              <w:t>GUARANTEED CONNECTIVITY AND STORE AND FORWARD</w:t>
            </w:r>
          </w:p>
        </w:tc>
        <w:tc>
          <w:tcPr>
            <w:tcW w:w="2070" w:type="dxa"/>
            <w:vMerge w:val="continue"/>
            <w:tcBorders>
              <w:top w:val="single" w:sz="4" w:space="0" w:color="000000"/>
              <w:start w:val="single" w:sz="4" w:space="0" w:color="000000"/>
              <w:bottom w:val="single" w:sz="4" w:space="0" w:color="000000"/>
              <w:end w:val="single" w:sz="4" w:space="0" w:color="000000"/>
            </w:tcBorders>
            <w:shd w:fill="008080" w:val="clear"/>
          </w:tcPr>
          <w:p>
            <w:pPr>
              <w:pStyle w:val="Normal"/>
              <w:snapToGrid w:val="false"/>
              <w:rPr>
                <w:sz w:val="22"/>
              </w:rPr>
            </w:pPr>
            <w:r>
              <w:rPr>
                <w:sz w:val="22"/>
              </w:rPr>
            </w:r>
          </w:p>
        </w:tc>
      </w:tr>
      <w:tr>
        <w:trPr/>
        <w:tc>
          <w:tcPr>
            <w:tcW w:w="5940" w:type="dxa"/>
            <w:tcBorders>
              <w:top w:val="single" w:sz="4" w:space="0" w:color="000000"/>
              <w:start w:val="single" w:sz="4" w:space="0" w:color="000000"/>
              <w:bottom w:val="single" w:sz="4" w:space="0" w:color="000000"/>
              <w:end w:val="single" w:sz="4" w:space="0" w:color="000000"/>
            </w:tcBorders>
            <w:shd w:fill="00FFFF" w:val="clear"/>
          </w:tcPr>
          <w:p>
            <w:pPr>
              <w:pStyle w:val="Normal"/>
              <w:jc w:val="center"/>
              <w:rPr>
                <w:sz w:val="22"/>
              </w:rPr>
            </w:pPr>
            <w:r>
              <w:rPr>
                <w:sz w:val="22"/>
              </w:rPr>
              <w:t>COMPONENT INTEGRATION</w:t>
            </w:r>
          </w:p>
        </w:tc>
        <w:tc>
          <w:tcPr>
            <w:tcW w:w="2070" w:type="dxa"/>
            <w:vMerge w:val="continue"/>
            <w:tcBorders>
              <w:top w:val="single" w:sz="4" w:space="0" w:color="000000"/>
              <w:start w:val="single" w:sz="4" w:space="0" w:color="000000"/>
              <w:bottom w:val="single" w:sz="4" w:space="0" w:color="000000"/>
              <w:end w:val="single" w:sz="4" w:space="0" w:color="000000"/>
            </w:tcBorders>
            <w:shd w:fill="008080" w:val="clear"/>
          </w:tcPr>
          <w:p>
            <w:pPr>
              <w:pStyle w:val="Normal"/>
              <w:snapToGrid w:val="false"/>
              <w:rPr>
                <w:sz w:val="22"/>
              </w:rPr>
            </w:pPr>
            <w:r>
              <w:rPr>
                <w:sz w:val="22"/>
              </w:rPr>
            </w:r>
          </w:p>
        </w:tc>
      </w:tr>
      <w:tr>
        <w:trPr/>
        <w:tc>
          <w:tcPr>
            <w:tcW w:w="5940" w:type="dxa"/>
            <w:tcBorders>
              <w:top w:val="single" w:sz="4" w:space="0" w:color="000000"/>
              <w:start w:val="single" w:sz="4" w:space="0" w:color="000000"/>
              <w:bottom w:val="single" w:sz="4" w:space="0" w:color="000000"/>
              <w:end w:val="single" w:sz="4" w:space="0" w:color="000000"/>
            </w:tcBorders>
            <w:shd w:fill="00FFFF" w:val="clear"/>
          </w:tcPr>
          <w:p>
            <w:pPr>
              <w:pStyle w:val="Normal"/>
              <w:jc w:val="center"/>
              <w:rPr>
                <w:sz w:val="22"/>
              </w:rPr>
            </w:pPr>
            <w:r>
              <w:rPr>
                <w:sz w:val="22"/>
              </w:rPr>
              <w:t>RULES BASED TRANSACTION AND PROCESS MANAGEMENT</w:t>
            </w:r>
          </w:p>
        </w:tc>
        <w:tc>
          <w:tcPr>
            <w:tcW w:w="2070" w:type="dxa"/>
            <w:vMerge w:val="continue"/>
            <w:tcBorders>
              <w:top w:val="single" w:sz="4" w:space="0" w:color="000000"/>
              <w:start w:val="single" w:sz="4" w:space="0" w:color="000000"/>
              <w:bottom w:val="single" w:sz="4" w:space="0" w:color="000000"/>
              <w:end w:val="single" w:sz="4" w:space="0" w:color="000000"/>
            </w:tcBorders>
            <w:shd w:fill="008080" w:val="clear"/>
          </w:tcPr>
          <w:p>
            <w:pPr>
              <w:pStyle w:val="Normal"/>
              <w:snapToGrid w:val="false"/>
              <w:rPr>
                <w:sz w:val="22"/>
              </w:rPr>
            </w:pPr>
            <w:r>
              <w:rPr>
                <w:sz w:val="22"/>
              </w:rPr>
            </w:r>
          </w:p>
        </w:tc>
      </w:tr>
      <w:tr>
        <w:trPr/>
        <w:tc>
          <w:tcPr>
            <w:tcW w:w="5940" w:type="dxa"/>
            <w:tcBorders>
              <w:top w:val="single" w:sz="4" w:space="0" w:color="000000"/>
              <w:start w:val="single" w:sz="4" w:space="0" w:color="000000"/>
              <w:bottom w:val="single" w:sz="4" w:space="0" w:color="000000"/>
              <w:end w:val="single" w:sz="4" w:space="0" w:color="000000"/>
            </w:tcBorders>
            <w:shd w:fill="00FFFF" w:val="clear"/>
          </w:tcPr>
          <w:p>
            <w:pPr>
              <w:pStyle w:val="Normal"/>
              <w:jc w:val="center"/>
              <w:rPr>
                <w:sz w:val="22"/>
              </w:rPr>
            </w:pPr>
            <w:r>
              <w:rPr>
                <w:sz w:val="22"/>
              </w:rPr>
              <w:t>DATA TRANSLATION &amp; TRANSFORMATION</w:t>
            </w:r>
          </w:p>
        </w:tc>
        <w:tc>
          <w:tcPr>
            <w:tcW w:w="2070" w:type="dxa"/>
            <w:vMerge w:val="continue"/>
            <w:tcBorders>
              <w:top w:val="single" w:sz="4" w:space="0" w:color="000000"/>
              <w:start w:val="single" w:sz="4" w:space="0" w:color="000000"/>
              <w:bottom w:val="single" w:sz="4" w:space="0" w:color="000000"/>
              <w:end w:val="single" w:sz="4" w:space="0" w:color="000000"/>
            </w:tcBorders>
            <w:shd w:fill="008080" w:val="clear"/>
          </w:tcPr>
          <w:p>
            <w:pPr>
              <w:pStyle w:val="Normal"/>
              <w:snapToGrid w:val="false"/>
              <w:rPr>
                <w:sz w:val="22"/>
              </w:rPr>
            </w:pPr>
            <w:r>
              <w:rPr>
                <w:sz w:val="22"/>
              </w:rPr>
            </w:r>
          </w:p>
        </w:tc>
      </w:tr>
      <w:tr>
        <w:trPr/>
        <w:tc>
          <w:tcPr>
            <w:tcW w:w="5940" w:type="dxa"/>
            <w:tcBorders>
              <w:top w:val="single" w:sz="4" w:space="0" w:color="000000"/>
              <w:start w:val="single" w:sz="4" w:space="0" w:color="000000"/>
              <w:end w:val="single" w:sz="4" w:space="0" w:color="000000"/>
            </w:tcBorders>
            <w:shd w:fill="00FFFF" w:val="clear"/>
          </w:tcPr>
          <w:p>
            <w:pPr>
              <w:pStyle w:val="Normal"/>
              <w:jc w:val="center"/>
              <w:rPr>
                <w:sz w:val="22"/>
              </w:rPr>
            </w:pPr>
            <w:r>
              <w:rPr>
                <w:sz w:val="22"/>
              </w:rPr>
              <w:t>AUTHENTICATION, AUTHORIZATION, DATA PRIVACY</w:t>
            </w:r>
          </w:p>
        </w:tc>
        <w:tc>
          <w:tcPr>
            <w:tcW w:w="2070" w:type="dxa"/>
            <w:vMerge w:val="continue"/>
            <w:tcBorders>
              <w:top w:val="single" w:sz="4" w:space="0" w:color="000000"/>
              <w:start w:val="single" w:sz="4" w:space="0" w:color="000000"/>
              <w:bottom w:val="single" w:sz="4" w:space="0" w:color="000000"/>
              <w:end w:val="single" w:sz="4" w:space="0" w:color="000000"/>
            </w:tcBorders>
            <w:shd w:fill="008080" w:val="clear"/>
          </w:tcPr>
          <w:p>
            <w:pPr>
              <w:pStyle w:val="Normal"/>
              <w:snapToGrid w:val="false"/>
              <w:rPr>
                <w:sz w:val="22"/>
              </w:rPr>
            </w:pPr>
            <w:r>
              <w:rPr>
                <w:sz w:val="22"/>
              </w:rPr>
            </w:r>
          </w:p>
        </w:tc>
      </w:tr>
      <w:tr>
        <w:trPr/>
        <w:tc>
          <w:tcPr>
            <w:tcW w:w="8010" w:type="dxa"/>
            <w:gridSpan w:val="2"/>
            <w:tcBorders>
              <w:top w:val="single" w:sz="4" w:space="0" w:color="000000"/>
              <w:start w:val="single" w:sz="4" w:space="0" w:color="000000"/>
              <w:bottom w:val="single" w:sz="4" w:space="0" w:color="000000"/>
              <w:end w:val="single" w:sz="4" w:space="0" w:color="000000"/>
            </w:tcBorders>
            <w:shd w:fill="FFFF00" w:val="clear"/>
          </w:tcPr>
          <w:p>
            <w:pPr>
              <w:pStyle w:val="Normal"/>
              <w:rPr>
                <w:sz w:val="22"/>
              </w:rPr>
            </w:pPr>
            <w:r>
              <w:rPr>
                <w:sz w:val="22"/>
              </w:rPr>
              <w:t>TCP/IP NETWORK</w:t>
            </w:r>
          </w:p>
        </w:tc>
      </w:tr>
    </w:tbl>
    <w:p>
      <w:pPr>
        <w:pStyle w:val="Normal"/>
        <w:rPr>
          <w:sz w:val="24"/>
        </w:rPr>
      </w:pPr>
      <w:r>
        <w:rPr>
          <w:sz w:val="24"/>
        </w:rPr>
      </w:r>
    </w:p>
    <w:p>
      <w:pPr>
        <w:pStyle w:val="Normal"/>
        <w:rPr>
          <w:i/>
          <w:i/>
          <w:sz w:val="24"/>
        </w:rPr>
      </w:pPr>
      <w:r>
        <w:rPr>
          <w:i/>
          <w:sz w:val="24"/>
        </w:rPr>
      </w:r>
      <w:r>
        <w:br w:type="page"/>
      </w:r>
    </w:p>
    <w:p>
      <w:pPr>
        <w:pStyle w:val="BodyText"/>
        <w:rPr/>
      </w:pPr>
      <w:r>
        <w:rPr/>
        <w:t xml:space="preserve">The underlying technical layer that implements the functionality, scalability, and openness consists of: </w:t>
      </w:r>
    </w:p>
    <w:p>
      <w:pPr>
        <w:pStyle w:val="Normal"/>
        <w:rPr>
          <w:sz w:val="24"/>
        </w:rPr>
      </w:pPr>
      <w:r>
        <w:rPr>
          <w:sz w:val="24"/>
        </w:rPr>
      </w:r>
    </w:p>
    <w:p>
      <w:pPr>
        <w:pStyle w:val="Normal"/>
        <w:numPr>
          <w:ilvl w:val="0"/>
          <w:numId w:val="8"/>
        </w:numPr>
        <w:rPr>
          <w:sz w:val="24"/>
        </w:rPr>
      </w:pPr>
      <w:r>
        <w:rPr>
          <w:sz w:val="24"/>
        </w:rPr>
        <w:t>A standard "envelope" for exchanging data</w:t>
      </w:r>
    </w:p>
    <w:p>
      <w:pPr>
        <w:pStyle w:val="Normal"/>
        <w:numPr>
          <w:ilvl w:val="0"/>
          <w:numId w:val="8"/>
        </w:numPr>
        <w:rPr>
          <w:sz w:val="24"/>
        </w:rPr>
      </w:pPr>
      <w:r>
        <w:rPr>
          <w:sz w:val="24"/>
        </w:rPr>
        <w:t>A connectivity platform - secure, guaranteed/store and forward</w:t>
      </w:r>
    </w:p>
    <w:p>
      <w:pPr>
        <w:pStyle w:val="Normal"/>
        <w:numPr>
          <w:ilvl w:val="0"/>
          <w:numId w:val="8"/>
        </w:numPr>
        <w:rPr>
          <w:sz w:val="24"/>
        </w:rPr>
      </w:pPr>
      <w:r>
        <w:rPr>
          <w:sz w:val="24"/>
        </w:rPr>
        <w:t>A platform for component integration</w:t>
      </w:r>
    </w:p>
    <w:p>
      <w:pPr>
        <w:pStyle w:val="Normal"/>
        <w:numPr>
          <w:ilvl w:val="0"/>
          <w:numId w:val="8"/>
        </w:numPr>
        <w:rPr>
          <w:sz w:val="24"/>
        </w:rPr>
      </w:pPr>
      <w:r>
        <w:rPr>
          <w:sz w:val="24"/>
        </w:rPr>
        <w:t>A queuing engine - transaction and process management</w:t>
      </w:r>
    </w:p>
    <w:p>
      <w:pPr>
        <w:pStyle w:val="Normal"/>
        <w:numPr>
          <w:ilvl w:val="0"/>
          <w:numId w:val="8"/>
        </w:numPr>
        <w:rPr>
          <w:sz w:val="24"/>
        </w:rPr>
      </w:pPr>
      <w:r>
        <w:rPr>
          <w:sz w:val="24"/>
        </w:rPr>
        <w:t>A business rules based engine: data translation and transformation</w:t>
      </w:r>
    </w:p>
    <w:p>
      <w:pPr>
        <w:pStyle w:val="Normal"/>
        <w:numPr>
          <w:ilvl w:val="0"/>
          <w:numId w:val="8"/>
        </w:numPr>
        <w:rPr>
          <w:sz w:val="24"/>
        </w:rPr>
      </w:pPr>
      <w:r>
        <w:rPr>
          <w:sz w:val="24"/>
        </w:rPr>
        <w:t>Tools for authentication, authorization (ACL), data privacy (SSL)</w:t>
      </w:r>
    </w:p>
    <w:p>
      <w:pPr>
        <w:pStyle w:val="Normal"/>
        <w:rPr>
          <w:sz w:val="24"/>
        </w:rPr>
      </w:pPr>
      <w:r>
        <w:rPr>
          <w:sz w:val="24"/>
        </w:rPr>
      </w:r>
    </w:p>
    <w:p>
      <w:pPr>
        <w:pStyle w:val="Heading3"/>
        <w:ind w:hanging="0" w:start="0"/>
        <w:rPr>
          <w:sz w:val="24"/>
        </w:rPr>
      </w:pPr>
      <w:r>
        <w:rPr>
          <w:sz w:val="24"/>
        </w:rPr>
        <w:t>Back end Integration</w:t>
      </w:r>
    </w:p>
    <w:p>
      <w:pPr>
        <w:pStyle w:val="Normal"/>
        <w:rPr>
          <w:sz w:val="24"/>
        </w:rPr>
      </w:pPr>
      <w:r>
        <w:rPr>
          <w:sz w:val="24"/>
        </w:rPr>
      </w:r>
    </w:p>
    <w:p>
      <w:pPr>
        <w:pStyle w:val="Normal"/>
        <w:rPr>
          <w:sz w:val="24"/>
        </w:rPr>
      </w:pPr>
      <w:r>
        <w:object w:dxaOrig="14400" w:dyaOrig="108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180.7pt;margin-top:23.6pt;width:287.3pt;height:215.35pt;mso-wrap-distance-left:9.05pt;mso-wrap-distance-right:9.05pt;mso-position-horizontal-relative:text;mso-position-vertical-relative:text" filled="f" o:ole="">
            <v:imagedata r:id="rId5" o:title=""/>
            <w10:wrap type="square"/>
          </v:shape>
          <o:OLEObject Type="Embed" ProgID="PowerPoint.Show.12" ShapeID="ole_rId4" DrawAspect="Content" ObjectID="_680581144" r:id="rId4"/>
        </w:object>
      </w:r>
      <w:r>
        <w:rPr>
          <w:sz w:val="24"/>
        </w:rPr>
        <w:t xml:space="preserve">The Company's integration challenge was to provide software that will allow elements of applications to inter-operate across network links, despite differences in underlying communications, protocols, system architecture, operating systems, databases and other application services.  </w:t>
      </w:r>
    </w:p>
    <w:p>
      <w:pPr>
        <w:pStyle w:val="Normal"/>
        <w:rPr>
          <w:sz w:val="24"/>
        </w:rPr>
      </w:pPr>
      <w:r>
        <w:rPr>
          <w:sz w:val="24"/>
        </w:rPr>
      </w:r>
    </w:p>
    <w:p>
      <w:pPr>
        <w:pStyle w:val="Normal"/>
        <w:rPr>
          <w:sz w:val="24"/>
        </w:rPr>
      </w:pPr>
      <w:r>
        <w:rPr>
          <w:sz w:val="24"/>
        </w:rPr>
        <w:t xml:space="preserve">The Company's solution to facilitate external integration is the use of MQ Series/Integration tools, using MQSeries for messaging and queuing, unifying disparate computing environments and permitting the application of consistent, maintainable approach. </w:t>
      </w:r>
    </w:p>
    <w:p>
      <w:pPr>
        <w:pStyle w:val="Normal"/>
        <w:rPr>
          <w:sz w:val="24"/>
        </w:rPr>
      </w:pPr>
      <w:r>
        <w:rPr>
          <w:sz w:val="24"/>
        </w:rPr>
      </w:r>
    </w:p>
    <w:p>
      <w:pPr>
        <w:pStyle w:val="Normal"/>
        <w:rPr>
          <w:sz w:val="24"/>
        </w:rPr>
      </w:pPr>
      <w:r>
        <w:rPr>
          <w:sz w:val="24"/>
        </w:rPr>
        <w:t xml:space="preserve">For the most part, customer systems will be heterogeneous and geographically dispersed with multiple platforms and diverse DBMS, with a mix of applications which will be either purchased, inherited or internally developed. </w:t>
      </w:r>
    </w:p>
    <w:p>
      <w:pPr>
        <w:pStyle w:val="Normal"/>
        <w:rPr>
          <w:sz w:val="24"/>
        </w:rPr>
      </w:pPr>
      <w:r>
        <w:rPr>
          <w:sz w:val="24"/>
        </w:rPr>
      </w:r>
    </w:p>
    <w:p>
      <w:pPr>
        <w:pStyle w:val="Heading3"/>
        <w:ind w:hanging="0" w:start="0"/>
        <w:rPr>
          <w:sz w:val="24"/>
        </w:rPr>
      </w:pPr>
      <w:r>
        <w:rPr>
          <w:sz w:val="24"/>
        </w:rPr>
        <w:t>Security</w:t>
      </w:r>
    </w:p>
    <w:p>
      <w:pPr>
        <w:pStyle w:val="Normal"/>
        <w:rPr>
          <w:sz w:val="24"/>
        </w:rPr>
      </w:pPr>
      <w:r>
        <w:rPr>
          <w:sz w:val="24"/>
        </w:rPr>
      </w:r>
    </w:p>
    <w:p>
      <w:pPr>
        <w:pStyle w:val="BodyText"/>
        <w:rPr/>
      </w:pPr>
      <w:r>
        <w:rPr/>
        <w:t>Security is designed-in in the Company’s site, and is provided a several levels:</w:t>
      </w:r>
    </w:p>
    <w:p>
      <w:pPr>
        <w:pStyle w:val="Normal"/>
        <w:ind w:start="360" w:end="0"/>
        <w:rPr>
          <w:sz w:val="24"/>
        </w:rPr>
      </w:pPr>
      <w:r>
        <w:rPr>
          <w:sz w:val="24"/>
        </w:rPr>
      </w:r>
    </w:p>
    <w:p>
      <w:pPr>
        <w:pStyle w:val="Normal"/>
        <w:numPr>
          <w:ilvl w:val="0"/>
          <w:numId w:val="6"/>
        </w:numPr>
        <w:tabs>
          <w:tab w:val="clear" w:pos="720"/>
        </w:tabs>
        <w:rPr>
          <w:sz w:val="24"/>
        </w:rPr>
      </w:pPr>
      <w:r>
        <w:rPr>
          <w:sz w:val="24"/>
        </w:rPr>
        <w:t>During log-on, customers are expected to provide a logon id and a password. These are verified by a Netscape directory server before allowing users to access live catalogs or transact business.</w:t>
      </w:r>
    </w:p>
    <w:p>
      <w:pPr>
        <w:pStyle w:val="Normal"/>
        <w:numPr>
          <w:ilvl w:val="0"/>
          <w:numId w:val="6"/>
        </w:numPr>
        <w:tabs>
          <w:tab w:val="clear" w:pos="720"/>
        </w:tabs>
        <w:rPr>
          <w:sz w:val="24"/>
        </w:rPr>
      </w:pPr>
      <w:r>
        <w:rPr>
          <w:sz w:val="24"/>
        </w:rPr>
        <w:t>The Company uses LDAP, the industry/internet standard for directory services.</w:t>
      </w:r>
    </w:p>
    <w:p>
      <w:pPr>
        <w:pStyle w:val="Normal"/>
        <w:numPr>
          <w:ilvl w:val="0"/>
          <w:numId w:val="6"/>
        </w:numPr>
        <w:tabs>
          <w:tab w:val="clear" w:pos="720"/>
        </w:tabs>
        <w:rPr>
          <w:sz w:val="24"/>
        </w:rPr>
      </w:pPr>
      <w:r>
        <w:rPr>
          <w:sz w:val="24"/>
        </w:rPr>
        <w:t>Before buyer or supplier corporate entities can be authorized to use the site, the Company’s internal administration utilizes business/credit reporting services to authenticate an organizations ability to transact on its site.</w:t>
      </w:r>
    </w:p>
    <w:p>
      <w:pPr>
        <w:pStyle w:val="Normal"/>
        <w:numPr>
          <w:ilvl w:val="0"/>
          <w:numId w:val="6"/>
        </w:numPr>
        <w:tabs>
          <w:tab w:val="clear" w:pos="720"/>
        </w:tabs>
        <w:rPr>
          <w:sz w:val="24"/>
        </w:rPr>
      </w:pPr>
      <w:r>
        <w:rPr>
          <w:sz w:val="24"/>
        </w:rPr>
        <w:t>The entire server complex is positioned behind Foundary switches and Checkpoint firewalls. Only the absolutely required ports and protocols are authorized for passage through this environment. All other access is rejected and reported upon. Proxy services are used for IP address translation, thus hiding internal addresses to incoming users and making access to servers other than the portal very difficult.</w:t>
      </w:r>
    </w:p>
    <w:p>
      <w:pPr>
        <w:pStyle w:val="Normal"/>
        <w:numPr>
          <w:ilvl w:val="0"/>
          <w:numId w:val="6"/>
        </w:numPr>
        <w:tabs>
          <w:tab w:val="clear" w:pos="720"/>
        </w:tabs>
        <w:rPr>
          <w:sz w:val="24"/>
        </w:rPr>
      </w:pPr>
      <w:r>
        <w:rPr>
          <w:sz w:val="24"/>
        </w:rPr>
        <w:t>Single sign-on funtionality: Users who have successfully logged on to the portal are automatically authenticated to both the Marketplace and Dynamic Trade servers, as well as the Oracle DataBase. This blocks attempts to enter the site via any other path than the prescribed one.</w:t>
      </w:r>
    </w:p>
    <w:p>
      <w:pPr>
        <w:pStyle w:val="Heading3"/>
        <w:ind w:hanging="0" w:start="0"/>
        <w:rPr>
          <w:sz w:val="24"/>
        </w:rPr>
      </w:pPr>
      <w:r>
        <w:rPr>
          <w:sz w:val="24"/>
        </w:rPr>
      </w:r>
    </w:p>
    <w:p>
      <w:pPr>
        <w:pStyle w:val="Heading3"/>
        <w:ind w:hanging="0" w:start="0"/>
        <w:rPr>
          <w:sz w:val="24"/>
        </w:rPr>
      </w:pPr>
      <w:r>
        <w:rPr>
          <w:sz w:val="24"/>
        </w:rPr>
        <w:t xml:space="preserve">Redundancy/Backup Plans </w:t>
      </w:r>
    </w:p>
    <w:p>
      <w:pPr>
        <w:pStyle w:val="Normal"/>
        <w:rPr>
          <w:sz w:val="24"/>
        </w:rPr>
      </w:pPr>
      <w:r>
        <w:rPr>
          <w:sz w:val="24"/>
        </w:rPr>
      </w:r>
    </w:p>
    <w:p>
      <w:pPr>
        <w:pStyle w:val="Normal"/>
        <w:rPr>
          <w:sz w:val="24"/>
        </w:rPr>
      </w:pPr>
      <w:r>
        <w:rPr>
          <w:sz w:val="24"/>
        </w:rPr>
        <w:t>Enron Broadband Services (EBS) hosts the Company’s e-business site.  This web hosting arrangement covers many of the redundancy and backup issues:</w:t>
      </w:r>
    </w:p>
    <w:p>
      <w:pPr>
        <w:pStyle w:val="Normal"/>
        <w:rPr>
          <w:sz w:val="24"/>
        </w:rPr>
      </w:pPr>
      <w:r>
        <w:rPr>
          <w:sz w:val="24"/>
        </w:rPr>
      </w:r>
    </w:p>
    <w:p>
      <w:pPr>
        <w:pStyle w:val="Normal"/>
        <w:numPr>
          <w:ilvl w:val="0"/>
          <w:numId w:val="4"/>
        </w:numPr>
        <w:rPr>
          <w:sz w:val="24"/>
        </w:rPr>
      </w:pPr>
      <w:r>
        <w:rPr>
          <w:sz w:val="24"/>
        </w:rPr>
        <w:t>Complete backups of all production data is done once per month. In addition to these complete back-ups, incremental backups are done on a daily basis</w:t>
      </w:r>
    </w:p>
    <w:p>
      <w:pPr>
        <w:pStyle w:val="Normal"/>
        <w:numPr>
          <w:ilvl w:val="0"/>
          <w:numId w:val="4"/>
        </w:numPr>
        <w:rPr>
          <w:sz w:val="24"/>
        </w:rPr>
      </w:pPr>
      <w:r>
        <w:rPr>
          <w:sz w:val="24"/>
        </w:rPr>
        <w:t xml:space="preserve">A complete Model Office environment is supported, including a one-for-one matching of the key servers in the production. This allows the Company to conduct testing and user acceptance is a rational and thorough manner. </w:t>
      </w:r>
    </w:p>
    <w:p>
      <w:pPr>
        <w:pStyle w:val="Normal"/>
        <w:numPr>
          <w:ilvl w:val="0"/>
          <w:numId w:val="4"/>
        </w:numPr>
        <w:rPr>
          <w:sz w:val="24"/>
        </w:rPr>
      </w:pPr>
      <w:r>
        <w:rPr>
          <w:sz w:val="24"/>
        </w:rPr>
        <w:t>All database files are stored in a redundant, fault tolerant EMC Symmetrix system. This provides dual pathing, automatic failover recovery, and RAID compliant data redundancy.</w:t>
      </w:r>
    </w:p>
    <w:p>
      <w:pPr>
        <w:pStyle w:val="Normal"/>
        <w:numPr>
          <w:ilvl w:val="0"/>
          <w:numId w:val="4"/>
        </w:numPr>
        <w:rPr>
          <w:sz w:val="24"/>
        </w:rPr>
      </w:pPr>
      <w:r>
        <w:rPr>
          <w:sz w:val="24"/>
        </w:rPr>
        <w:t>The Checkpoint firewalls and Foundary switches are fully redundant and support dynamic re-direction during failures.</w:t>
      </w:r>
    </w:p>
    <w:p>
      <w:pPr>
        <w:pStyle w:val="Normal"/>
        <w:rPr>
          <w:sz w:val="24"/>
        </w:rPr>
      </w:pPr>
      <w:r>
        <w:rPr>
          <w:sz w:val="24"/>
        </w:rPr>
      </w:r>
    </w:p>
    <w:p>
      <w:pPr>
        <w:pStyle w:val="Heading3"/>
        <w:ind w:hanging="0" w:start="0"/>
        <w:rPr>
          <w:sz w:val="24"/>
        </w:rPr>
      </w:pPr>
      <w:r>
        <w:rPr>
          <w:sz w:val="24"/>
        </w:rPr>
        <w:t>Platform Support</w:t>
      </w:r>
    </w:p>
    <w:p>
      <w:pPr>
        <w:pStyle w:val="Normal"/>
        <w:rPr>
          <w:sz w:val="24"/>
        </w:rPr>
      </w:pPr>
      <w:r>
        <w:rPr>
          <w:sz w:val="24"/>
        </w:rPr>
      </w:r>
    </w:p>
    <w:p>
      <w:pPr>
        <w:pStyle w:val="BodyText"/>
        <w:rPr/>
      </w:pPr>
      <w:r>
        <w:rPr/>
        <w:t>The Company's site supports the following platforms.</w:t>
      </w:r>
    </w:p>
    <w:p>
      <w:pPr>
        <w:pStyle w:val="Normal"/>
        <w:rPr>
          <w:sz w:val="24"/>
        </w:rPr>
      </w:pPr>
      <w:r>
        <w:rPr>
          <w:sz w:val="24"/>
        </w:rPr>
      </w:r>
    </w:p>
    <w:tbl>
      <w:tblPr>
        <w:tblW w:w="7290" w:type="dxa"/>
        <w:jc w:val="start"/>
        <w:tblInd w:w="828" w:type="dxa"/>
        <w:tblLayout w:type="fixed"/>
        <w:tblCellMar>
          <w:top w:w="0" w:type="dxa"/>
          <w:start w:w="108" w:type="dxa"/>
          <w:bottom w:w="0" w:type="dxa"/>
          <w:end w:w="108" w:type="dxa"/>
        </w:tblCellMar>
      </w:tblPr>
      <w:tblGrid>
        <w:gridCol w:w="3600"/>
        <w:gridCol w:w="3690"/>
      </w:tblGrid>
      <w:tr>
        <w:trPr>
          <w:trHeight w:val="270" w:hRule="atLeast"/>
        </w:trPr>
        <w:tc>
          <w:tcPr>
            <w:tcW w:w="7290" w:type="dxa"/>
            <w:gridSpan w:val="2"/>
            <w:tcBorders>
              <w:bottom w:val="single" w:sz="12" w:space="0" w:color="000000"/>
            </w:tcBorders>
            <w:shd w:fill="800000" w:val="clear"/>
          </w:tcPr>
          <w:p>
            <w:pPr>
              <w:pStyle w:val="Normal"/>
              <w:jc w:val="center"/>
              <w:rPr>
                <w:b/>
                <w:i/>
                <w:i/>
                <w:color w:val="FFFFFF"/>
                <w:sz w:val="24"/>
              </w:rPr>
            </w:pPr>
            <w:r>
              <w:rPr>
                <w:b/>
                <w:i/>
                <w:color w:val="FFFFFF"/>
                <w:sz w:val="24"/>
              </w:rPr>
              <w:t>Table 1</w:t>
            </w:r>
          </w:p>
        </w:tc>
      </w:tr>
      <w:tr>
        <w:trPr>
          <w:trHeight w:val="270" w:hRule="atLeast"/>
        </w:trPr>
        <w:tc>
          <w:tcPr>
            <w:tcW w:w="3600" w:type="dxa"/>
            <w:tcBorders>
              <w:bottom w:val="single" w:sz="12" w:space="0" w:color="000000"/>
            </w:tcBorders>
            <w:shd w:fill="800000" w:val="clear"/>
          </w:tcPr>
          <w:p>
            <w:pPr>
              <w:pStyle w:val="Normal"/>
              <w:snapToGrid w:val="false"/>
              <w:rPr>
                <w:b/>
                <w:i/>
                <w:i/>
                <w:color w:val="FFFFFF"/>
                <w:sz w:val="24"/>
              </w:rPr>
            </w:pPr>
            <w:r>
              <w:rPr>
                <w:b/>
                <w:i/>
                <w:color w:val="FFFFFF"/>
                <w:sz w:val="24"/>
              </w:rPr>
            </w:r>
          </w:p>
          <w:p>
            <w:pPr>
              <w:pStyle w:val="Normal"/>
              <w:rPr>
                <w:b/>
                <w:i/>
                <w:i/>
                <w:color w:val="FFFFFF"/>
                <w:sz w:val="24"/>
              </w:rPr>
            </w:pPr>
            <w:r>
              <w:rPr>
                <w:b/>
                <w:i/>
                <w:color w:val="FFFFFF"/>
                <w:sz w:val="24"/>
              </w:rPr>
              <w:t>Databases</w:t>
            </w:r>
          </w:p>
        </w:tc>
        <w:tc>
          <w:tcPr>
            <w:tcW w:w="3690" w:type="dxa"/>
            <w:tcBorders>
              <w:bottom w:val="single" w:sz="12" w:space="0" w:color="000000"/>
            </w:tcBorders>
            <w:shd w:fill="800000" w:val="clear"/>
          </w:tcPr>
          <w:p>
            <w:pPr>
              <w:pStyle w:val="Normal"/>
              <w:snapToGrid w:val="false"/>
              <w:rPr>
                <w:b/>
                <w:i/>
                <w:i/>
                <w:color w:val="FFFFFF"/>
                <w:sz w:val="24"/>
              </w:rPr>
            </w:pPr>
            <w:r>
              <w:rPr>
                <w:b/>
                <w:i/>
                <w:color w:val="FFFFFF"/>
                <w:sz w:val="24"/>
              </w:rPr>
            </w:r>
          </w:p>
          <w:p>
            <w:pPr>
              <w:pStyle w:val="Normal"/>
              <w:rPr>
                <w:b/>
                <w:i/>
                <w:i/>
                <w:color w:val="FFFFFF"/>
                <w:sz w:val="24"/>
              </w:rPr>
            </w:pPr>
            <w:r>
              <w:rPr>
                <w:b/>
                <w:i/>
                <w:color w:val="FFFFFF"/>
                <w:sz w:val="24"/>
              </w:rPr>
              <w:t>Operating Systems</w:t>
            </w:r>
          </w:p>
        </w:tc>
      </w:tr>
      <w:tr>
        <w:trPr>
          <w:trHeight w:val="225" w:hRule="atLeast"/>
        </w:trPr>
        <w:tc>
          <w:tcPr>
            <w:tcW w:w="3600" w:type="dxa"/>
            <w:tcBorders/>
            <w:shd w:fill="FFFFCC" w:val="clear"/>
          </w:tcPr>
          <w:p>
            <w:pPr>
              <w:pStyle w:val="Normal"/>
              <w:rPr>
                <w:b/>
                <w:i/>
                <w:i/>
                <w:sz w:val="24"/>
              </w:rPr>
            </w:pPr>
            <w:r>
              <w:rPr>
                <w:b/>
                <w:i/>
                <w:sz w:val="24"/>
              </w:rPr>
              <w:t>Oracle</w:t>
            </w:r>
          </w:p>
        </w:tc>
        <w:tc>
          <w:tcPr>
            <w:tcW w:w="3690" w:type="dxa"/>
            <w:tcBorders/>
            <w:shd w:fill="FFFFCC" w:val="clear"/>
          </w:tcPr>
          <w:p>
            <w:pPr>
              <w:pStyle w:val="Normal"/>
              <w:rPr>
                <w:b/>
                <w:i/>
                <w:i/>
                <w:sz w:val="24"/>
              </w:rPr>
            </w:pPr>
            <w:r>
              <w:rPr>
                <w:b/>
                <w:i/>
                <w:sz w:val="24"/>
              </w:rPr>
              <w:t>SOLARIS</w:t>
            </w:r>
          </w:p>
        </w:tc>
      </w:tr>
      <w:tr>
        <w:trPr>
          <w:trHeight w:val="120" w:hRule="atLeast"/>
        </w:trPr>
        <w:tc>
          <w:tcPr>
            <w:tcW w:w="3600" w:type="dxa"/>
            <w:tcBorders/>
            <w:shd w:fill="FFFFCC" w:val="clear"/>
          </w:tcPr>
          <w:p>
            <w:pPr>
              <w:pStyle w:val="Normal"/>
              <w:rPr>
                <w:b/>
                <w:i/>
                <w:i/>
                <w:sz w:val="24"/>
              </w:rPr>
            </w:pPr>
            <w:r>
              <w:rPr>
                <w:b/>
                <w:i/>
                <w:sz w:val="24"/>
              </w:rPr>
              <w:t>Sybase</w:t>
            </w:r>
          </w:p>
        </w:tc>
        <w:tc>
          <w:tcPr>
            <w:tcW w:w="3690" w:type="dxa"/>
            <w:tcBorders/>
            <w:shd w:fill="FFFFCC" w:val="clear"/>
          </w:tcPr>
          <w:p>
            <w:pPr>
              <w:pStyle w:val="Normal"/>
              <w:rPr>
                <w:b/>
                <w:i/>
                <w:i/>
                <w:sz w:val="24"/>
              </w:rPr>
            </w:pPr>
            <w:r>
              <w:rPr>
                <w:b/>
                <w:i/>
                <w:sz w:val="24"/>
              </w:rPr>
              <w:t>HP-UX</w:t>
            </w:r>
          </w:p>
        </w:tc>
      </w:tr>
      <w:tr>
        <w:trPr>
          <w:trHeight w:val="120" w:hRule="atLeast"/>
        </w:trPr>
        <w:tc>
          <w:tcPr>
            <w:tcW w:w="3600" w:type="dxa"/>
            <w:tcBorders/>
            <w:shd w:fill="FFFFCC" w:val="clear"/>
          </w:tcPr>
          <w:p>
            <w:pPr>
              <w:pStyle w:val="Normal"/>
              <w:rPr>
                <w:b/>
                <w:i/>
                <w:i/>
                <w:sz w:val="24"/>
              </w:rPr>
            </w:pPr>
            <w:r>
              <w:rPr>
                <w:b/>
                <w:i/>
                <w:sz w:val="24"/>
              </w:rPr>
              <w:t>MS-SQL/SVR</w:t>
            </w:r>
          </w:p>
        </w:tc>
        <w:tc>
          <w:tcPr>
            <w:tcW w:w="3690" w:type="dxa"/>
            <w:tcBorders/>
            <w:shd w:fill="FFFFCC" w:val="clear"/>
          </w:tcPr>
          <w:p>
            <w:pPr>
              <w:pStyle w:val="Normal"/>
              <w:rPr>
                <w:b/>
                <w:i/>
                <w:i/>
                <w:sz w:val="24"/>
              </w:rPr>
            </w:pPr>
            <w:r>
              <w:rPr>
                <w:b/>
                <w:i/>
                <w:sz w:val="24"/>
              </w:rPr>
              <w:t>NT</w:t>
            </w:r>
          </w:p>
        </w:tc>
      </w:tr>
      <w:tr>
        <w:trPr>
          <w:trHeight w:val="150" w:hRule="atLeast"/>
        </w:trPr>
        <w:tc>
          <w:tcPr>
            <w:tcW w:w="3600" w:type="dxa"/>
            <w:tcBorders>
              <w:bottom w:val="single" w:sz="12" w:space="0" w:color="000000"/>
            </w:tcBorders>
            <w:shd w:fill="FFFFCC" w:val="clear"/>
          </w:tcPr>
          <w:p>
            <w:pPr>
              <w:pStyle w:val="Normal"/>
              <w:rPr>
                <w:b/>
                <w:i/>
                <w:i/>
                <w:sz w:val="24"/>
              </w:rPr>
            </w:pPr>
            <w:r>
              <w:rPr>
                <w:b/>
                <w:i/>
                <w:sz w:val="24"/>
              </w:rPr>
              <w:t>DB2</w:t>
            </w:r>
          </w:p>
        </w:tc>
        <w:tc>
          <w:tcPr>
            <w:tcW w:w="3690" w:type="dxa"/>
            <w:tcBorders>
              <w:bottom w:val="single" w:sz="12" w:space="0" w:color="000000"/>
            </w:tcBorders>
            <w:shd w:fill="FFFFCC" w:val="clear"/>
          </w:tcPr>
          <w:p>
            <w:pPr>
              <w:pStyle w:val="Normal"/>
              <w:rPr>
                <w:b/>
                <w:i/>
                <w:i/>
                <w:sz w:val="24"/>
              </w:rPr>
            </w:pPr>
            <w:r>
              <w:rPr>
                <w:b/>
                <w:i/>
                <w:sz w:val="24"/>
              </w:rPr>
              <w:t>MVS</w:t>
            </w:r>
          </w:p>
        </w:tc>
      </w:tr>
    </w:tbl>
    <w:p>
      <w:pPr>
        <w:pStyle w:val="Normal"/>
        <w:rPr/>
      </w:pPr>
      <w:r>
        <w:rPr/>
      </w:r>
    </w:p>
    <w:p>
      <w:pPr>
        <w:pStyle w:val="Normal"/>
        <w:rPr/>
      </w:pPr>
      <w:r>
        <w:rPr/>
      </w:r>
      <w:r>
        <w:br w:type="page"/>
      </w:r>
    </w:p>
    <w:p>
      <w:pPr>
        <w:pStyle w:val="Heading1"/>
        <w:ind w:hanging="0" w:start="0"/>
        <w:rPr>
          <w:bCs/>
        </w:rPr>
      </w:pPr>
      <w:r>
        <w:rPr>
          <w:bCs/>
        </w:rPr>
        <w:t>AZURIX INVESTMENT TO DATE</w:t>
      </w:r>
    </w:p>
    <w:p>
      <w:pPr>
        <w:pStyle w:val="Normal"/>
        <w:rPr>
          <w:b/>
          <w:bCs/>
        </w:rPr>
      </w:pPr>
      <w:r>
        <w:rPr>
          <w:b/>
          <w:bCs/>
        </w:rPr>
      </w:r>
    </w:p>
    <w:p>
      <w:pPr>
        <w:pStyle w:val="Normal"/>
        <w:rPr>
          <w:b/>
          <w:bCs/>
          <w:lang w:val="en-CA" w:eastAsia="en-CA"/>
        </w:rPr>
      </w:pPr>
      <w:r>
        <w:rPr>
          <w:b/>
          <w:bCs/>
          <w:lang w:val="en-CA" w:eastAsia="en-CA"/>
        </w:rPr>
        <w:object w:dxaOrig="9334" w:dyaOrig="6915">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0pt;margin-top:0pt;width:468pt;height:349.2pt;mso-wrap-distance-left:9.05pt;mso-wrap-distance-right:9.05pt;mso-position-horizontal-relative:text;mso-position-vertical-relative:text" filled="f" o:ole="">
            <v:imagedata r:id="rId7" o:title=""/>
            <w10:wrap type="topAndBottom"/>
          </v:shape>
          <o:OLEObject Type="Embed" ProgID="Excel.Sheet.12" ShapeID="ole_rId6" DrawAspect="Content" ObjectID="_432390713" r:id="rId6"/>
        </w:object>
      </w:r>
    </w:p>
    <w:sectPr>
      <w:headerReference w:type="default" r:id="rId8"/>
      <w:footerReference w:type="default" r:id="rId9"/>
      <w:type w:val="nextPage"/>
      <w:pgSz w:w="12240" w:h="15840"/>
      <w:pgMar w:left="1440" w:right="1440" w:gutter="0" w:header="720" w:top="1440"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jc w:val="start"/>
      <w:rPr/>
    </w:pPr>
    <w:r>
      <w:rPr/>
      <w:t>Change 1 to WaterDesk Corp. October 2000 Confidential Information Memorandum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
    <w:lvl w:ilvl="0">
      <w:start w:val="3"/>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bullet"/>
      <w:lvlText w:val=""/>
      <w:lvlJc w:val="start"/>
      <w:pPr>
        <w:tabs>
          <w:tab w:val="num" w:pos="360"/>
        </w:tabs>
        <w:ind w:start="360" w:hanging="360"/>
      </w:pPr>
      <w:rPr>
        <w:rFonts w:ascii="Wingdings" w:hAnsi="Wingdings" w:cs="Wingdings" w:hint="default"/>
        <w:sz w:val="16"/>
      </w:rPr>
    </w:lvl>
  </w:abstractNum>
  <w:abstractNum w:abstractNumId="8">
    <w:lvl w:ilvl="0">
      <w:start w:val="1"/>
      <w:numFmt w:val="bullet"/>
      <w:lvlText w:val=""/>
      <w:lvlJc w:val="start"/>
      <w:pPr>
        <w:tabs>
          <w:tab w:val="num" w:pos="360"/>
        </w:tabs>
        <w:ind w:start="360" w:hanging="360"/>
      </w:pPr>
      <w:rPr>
        <w:rFonts w:ascii="Wingdings" w:hAnsi="Wingdings" w:cs="Wingdings" w:hint="default"/>
        <w:sz w:val="16"/>
      </w:rPr>
    </w:lvl>
  </w:abstractNum>
  <w:abstractNum w:abstractNumId="9">
    <w:lvl w:ilvl="0">
      <w:start w:val="1"/>
      <w:numFmt w:val="bullet"/>
      <w:lvlText w:val=""/>
      <w:lvlJc w:val="start"/>
      <w:pPr>
        <w:tabs>
          <w:tab w:val="num" w:pos="360"/>
        </w:tabs>
        <w:ind w:start="360" w:hanging="360"/>
      </w:pPr>
      <w:rPr>
        <w:rFonts w:ascii="Wingdings" w:hAnsi="Wingdings" w:cs="Wingdings" w:hint="default"/>
        <w:sz w:val="16"/>
      </w:rPr>
    </w:lvl>
  </w:abstractNum>
  <w:abstractNum w:abstractNumId="10">
    <w:lvl w:ilvl="0">
      <w:start w:val="1"/>
      <w:numFmt w:val="bullet"/>
      <w:lvlText w:val=""/>
      <w:lvlJc w:val="start"/>
      <w:pPr>
        <w:tabs>
          <w:tab w:val="num" w:pos="360"/>
        </w:tabs>
        <w:ind w:start="360" w:hanging="360"/>
      </w:pPr>
      <w:rPr>
        <w:rFonts w:ascii="Wingdings" w:hAnsi="Wingdings" w:cs="Wingdings" w:hint="default"/>
        <w:sz w:val="16"/>
      </w:rPr>
    </w:lvl>
  </w:abstractNum>
  <w:abstractNum w:abstractNumId="11">
    <w:lvl w:ilvl="0">
      <w:start w:val="4"/>
      <w:numFmt w:val="bullet"/>
      <w:lvlText w:val="-"/>
      <w:lvlJc w:val="start"/>
      <w:pPr>
        <w:tabs>
          <w:tab w:val="num" w:pos="2088"/>
        </w:tabs>
        <w:ind w:start="2088" w:hanging="720"/>
      </w:pPr>
      <w:rPr>
        <w:rFonts w:ascii="Liberation Serif" w:hAnsi="Liberation Serif" w:cs="Liberation Serif" w:hint="default"/>
      </w:rPr>
    </w:lvl>
  </w:abstractNum>
  <w:abstractNum w:abstractNumId="12">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3">
    <w:lvl w:ilvl="0">
      <w:start w:val="1"/>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keepLines/>
      <w:numPr>
        <w:ilvl w:val="1"/>
        <w:numId w:val="1"/>
      </w:numPr>
      <w:jc w:val="both"/>
      <w:outlineLvl w:val="1"/>
    </w:pPr>
    <w:rPr>
      <w:b/>
      <w:sz w:val="22"/>
    </w:rPr>
  </w:style>
  <w:style w:type="paragraph" w:styleId="Heading3">
    <w:name w:val="heading 3"/>
    <w:basedOn w:val="Normal"/>
    <w:next w:val="Normal"/>
    <w:qFormat/>
    <w:pPr>
      <w:keepNext w:val="true"/>
      <w:numPr>
        <w:ilvl w:val="2"/>
        <w:numId w:val="1"/>
      </w:numPr>
      <w:outlineLvl w:val="2"/>
    </w:pPr>
    <w:rPr>
      <w:i/>
      <w:color w:val="000000"/>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Wingdings" w:hAnsi="Wingdings" w:cs="Wingdings"/>
      <w:sz w:val="16"/>
    </w:rPr>
  </w:style>
  <w:style w:type="character" w:styleId="WW8Num5z0">
    <w:name w:val="WW8Num5z0"/>
    <w:qFormat/>
    <w:rPr/>
  </w:style>
  <w:style w:type="character" w:styleId="WW8Num6z0">
    <w:name w:val="WW8Num6z0"/>
    <w:qFormat/>
    <w:rPr>
      <w:rFonts w:ascii="Wingdings" w:hAnsi="Wingdings" w:cs="Wingdings"/>
      <w:sz w:val="16"/>
    </w:rPr>
  </w:style>
  <w:style w:type="character" w:styleId="WW8Num7z0">
    <w:name w:val="WW8Num7z0"/>
    <w:qFormat/>
    <w:rPr>
      <w:rFonts w:ascii="Wingdings" w:hAnsi="Wingdings" w:cs="Wingdings"/>
      <w:sz w:val="16"/>
    </w:rPr>
  </w:style>
  <w:style w:type="character" w:styleId="WW8Num8z0">
    <w:name w:val="WW8Num8z0"/>
    <w:qFormat/>
    <w:rPr>
      <w:rFonts w:ascii="Wingdings" w:hAnsi="Wingdings" w:cs="Wingdings"/>
      <w:sz w:val="16"/>
    </w:rPr>
  </w:style>
  <w:style w:type="character" w:styleId="WW8Num9z0">
    <w:name w:val="WW8Num9z0"/>
    <w:qFormat/>
    <w:rPr>
      <w:rFonts w:ascii="Wingdings" w:hAnsi="Wingdings" w:cs="Wingdings"/>
      <w:sz w:val="16"/>
    </w:rPr>
  </w:style>
  <w:style w:type="character" w:styleId="WW8Num10z0">
    <w:name w:val="WW8Num10z0"/>
    <w:qFormat/>
    <w:rPr>
      <w:rFonts w:ascii="Wingdings" w:hAnsi="Wingdings" w:cs="Wingdings"/>
      <w:sz w:val="16"/>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Wingdings" w:hAnsi="Wingdings" w:cs="Wingdings"/>
      <w:sz w:val="16"/>
    </w:rPr>
  </w:style>
  <w:style w:type="character" w:styleId="WW8Num17z0">
    <w:name w:val="WW8Num17z0"/>
    <w:qFormat/>
    <w:rPr/>
  </w:style>
  <w:style w:type="character" w:styleId="WW8Num19z0">
    <w:name w:val="WW8Num1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rFonts w:ascii="Arial" w:hAnsi="Arial" w:cs="Arial"/>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package" Target="embeddings/oleObject1.pptx"/><Relationship Id="rId5" Type="http://schemas.openxmlformats.org/officeDocument/2006/relationships/image" Target="media/image3.wmf"/><Relationship Id="rId6" Type="http://schemas.openxmlformats.org/officeDocument/2006/relationships/package" Target="embeddings/oleObject2.xlsx"/><Relationship Id="rId7" Type="http://schemas.openxmlformats.org/officeDocument/2006/relationships/image" Target="media/image4.wmf"/><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2000-12-19T21:11:00Z</dcterms:created>
  <dc:creator>EI</dc:creator>
  <dc:description/>
  <dc:language>en-CA</dc:language>
  <cp:lastModifiedBy>Alex Perwich</cp:lastModifiedBy>
  <cp:lastPrinted>2000-12-19T17:07:00Z</cp:lastPrinted>
  <dcterms:modified xsi:type="dcterms:W3CDTF">2000-12-20T13:21:00Z</dcterms:modified>
  <cp:revision>4</cp:revision>
  <dc:subject/>
  <dc:title>Introduction</dc:title>
</cp:coreProperties>
</file>