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4"/>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Indian Mesa</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CSW Energy Inc. ("CSWE")</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3"/>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Todd Lindholm</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Energy-Non-Regulated Power Generation</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Dropdown4"/>
                        <w:enabled/>
                        <w:ddList>
                          <w:result w:val="4"/>
                          <w:listEntry w:val="SELECT DEAL TYPE"/>
                          <w:listEntry w:val="NEW DEAL"/>
                          <w:listEntry w:val="SUBSEQUENT INVESTMENT"/>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4" w:name="Dropdown4"/>
                  <w:bookmarkStart w:id="5" w:name="Dropdown4"/>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5"/>
                        <w:enabled/>
                        <w:ddList>
                          <w:result w:val="4"/>
                          <w:listEntry w:val="SELECT DEAL TYPE"/>
                          <w:listEntry w:val="NEW DEAL"/>
                          <w:listEntry w:val="SUBSEQUENT INVESTMENT"/>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6" w:name="Dropdown5"/>
                  <w:bookmarkStart w:id="7" w:name="Dropdown5"/>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8"/>
                        <w:enabled/>
                        <w:ddList>
                          <w:result w:val="4"/>
                          <w:listEntry w:val="SELECT DEAL TYPE"/>
                          <w:listEntry w:val="NEW DEAL"/>
                          <w:listEntry w:val="SUBSEQUENT INVESTMENT"/>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8" w:name="Dropdown8"/>
                  <w:bookmarkStart w:id="9" w:name="Dropdown8"/>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July 23,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20"/>
                    </w:rPr>
                  </w:pPr>
                  <w:r>
                    <w:fldChar w:fldCharType="begin">
                      <w:ffData>
                        <w:name w:val="Dropdown7"/>
                        <w:enabled/>
                        <w:ddList>
                          <w:result w:val="4"/>
                          <w:listEntry w:val="SELECT DEAL TYPE"/>
                          <w:listEntry w:val="NEW DEAL"/>
                          <w:listEntry w:val="SUBSEQUENT INVESTMENT"/>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Adam Pollock</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4"/>
                          <w:listEntry w:val="SELECT DEAL TYPE"/>
                          <w:listEntry w:val="NEW DEAL"/>
                          <w:listEntry w:val="SUBSEQUENT INVESTMENT"/>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December 31, 2001</w:t>
                  </w:r>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December 31,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0"/>
            <w:bookmarkStart w:id="23" w:name="Check10"/>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DEAL TYPE"/>
                    <w:listEntry w:val="NEW DEAL"/>
                    <w:listEntry w:val="SUBSEQUENT INVESTMENT"/>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rFonts w:ascii="Arial" w:hAnsi="Arial" w:cs="Arial"/>
        </w:rPr>
      </w:pPr>
      <w:r>
        <w:rPr>
          <w:rFonts w:cs="Arial" w:ascii="Arial" w:hAnsi="Arial"/>
        </w:rPr>
        <w:t>APPROVAL AMOUNT REQUESTED</w:t>
      </w:r>
    </w:p>
    <w:p>
      <w:pPr>
        <w:pStyle w:val="Heading2"/>
        <w:numPr>
          <w:ilvl w:val="0"/>
          <w:numId w:val="3"/>
        </w:numPr>
        <w:ind w:hanging="360" w:start="360" w:end="-36"/>
        <w:jc w:val="both"/>
        <w:rPr>
          <w:rFonts w:ascii="Arial" w:hAnsi="Arial" w:cs="Arial"/>
          <w:b w:val="false"/>
          <w:i w:val="false"/>
          <w:i w:val="false"/>
        </w:rPr>
      </w:pPr>
      <w:r>
        <w:rPr>
          <w:rFonts w:cs="Arial" w:ascii="Arial" w:hAnsi="Arial"/>
          <w:b w:val="false"/>
          <w:i w:val="false"/>
        </w:rPr>
        <w:t>EWC requests approval to sell 100% of its equity interests in Indian Mesa Power Partners I LP and Indian Mesa Power Partners II LP (each a “Project”, or together the “Projects”) to CSWE, a wholly owned subsidiary of AEP for a total of $187.5 million, consisting of $71.5 million of cash and the assumption of $116 million of non-recourse project term debt to be arranged by EWC prior to closing.  The purchase price will be subject to common post-closing price adjustments and any additional adjustments for turbines not qualified for production tax credits.</w:t>
      </w:r>
    </w:p>
    <w:p>
      <w:pPr>
        <w:pStyle w:val="Heading2"/>
        <w:numPr>
          <w:ilvl w:val="0"/>
          <w:numId w:val="3"/>
        </w:numPr>
        <w:ind w:hanging="360" w:start="360" w:end="-36"/>
        <w:jc w:val="both"/>
        <w:rPr>
          <w:rFonts w:ascii="Arial" w:hAnsi="Arial" w:cs="Arial"/>
          <w:b w:val="false"/>
          <w:i w:val="false"/>
          <w:i w:val="false"/>
        </w:rPr>
      </w:pPr>
      <w:r>
        <w:rPr>
          <w:rFonts w:cs="Arial" w:ascii="Arial" w:hAnsi="Arial"/>
          <w:b w:val="false"/>
          <w:i w:val="false"/>
        </w:rPr>
        <w:t>Enron to guarantee Enron Wind Constructors Corp’s (the “Contractor”) performance under the EPC contract relating to five-year turbine parts, availability and power curve warranties with the following limits of liabilities.  Such corporate guarantees of substantially similar terms were routinely provided for EWC in prior project sales and none of the guarantees issued have been drawn on.</w:t>
      </w:r>
    </w:p>
    <w:p>
      <w:pPr>
        <w:pStyle w:val="Heading2"/>
        <w:numPr>
          <w:ilvl w:val="1"/>
          <w:numId w:val="3"/>
        </w:numPr>
        <w:ind w:hanging="360" w:start="1440" w:end="-36"/>
        <w:rPr>
          <w:rFonts w:ascii="Arial" w:hAnsi="Arial" w:cs="Arial"/>
          <w:b w:val="false"/>
          <w:i w:val="false"/>
          <w:i w:val="false"/>
          <w:color w:val="000000"/>
        </w:rPr>
      </w:pPr>
      <w:r>
        <w:rPr>
          <w:rFonts w:cs="Arial" w:ascii="Arial" w:hAnsi="Arial"/>
          <w:b w:val="false"/>
          <w:i w:val="false"/>
          <w:color w:val="000000"/>
        </w:rPr>
        <w:t>Limit on aggregate EPC liquidated damages</w:t>
        <w:tab/>
        <w:tab/>
        <w:t>50% of the contract price</w:t>
      </w:r>
    </w:p>
    <w:p>
      <w:pPr>
        <w:pStyle w:val="Heading2"/>
        <w:numPr>
          <w:ilvl w:val="1"/>
          <w:numId w:val="3"/>
        </w:numPr>
        <w:ind w:hanging="360" w:start="1440" w:end="-36"/>
        <w:rPr>
          <w:rFonts w:ascii="Arial" w:hAnsi="Arial" w:cs="Arial"/>
          <w:b w:val="false"/>
          <w:i w:val="false"/>
          <w:i w:val="false"/>
          <w:color w:val="000000"/>
        </w:rPr>
      </w:pPr>
      <w:r>
        <w:rPr>
          <w:rFonts w:cs="Arial" w:ascii="Arial" w:hAnsi="Arial"/>
          <w:b w:val="false"/>
          <w:i w:val="false"/>
          <w:color w:val="000000"/>
        </w:rPr>
        <w:t>Limit on EPC completion delay damages</w:t>
        <w:tab/>
        <w:tab/>
        <w:t>50% of the contract price</w:t>
      </w:r>
    </w:p>
    <w:p>
      <w:pPr>
        <w:pStyle w:val="Heading2"/>
        <w:numPr>
          <w:ilvl w:val="1"/>
          <w:numId w:val="3"/>
        </w:numPr>
        <w:ind w:hanging="360" w:start="1440" w:end="-36"/>
        <w:rPr>
          <w:rFonts w:ascii="Arial" w:hAnsi="Arial" w:cs="Arial"/>
          <w:b w:val="false"/>
          <w:i w:val="false"/>
          <w:i w:val="false"/>
          <w:color w:val="000000"/>
        </w:rPr>
      </w:pPr>
      <w:r>
        <w:rPr>
          <w:rFonts w:cs="Arial" w:ascii="Arial" w:hAnsi="Arial"/>
          <w:b w:val="false"/>
          <w:i w:val="false"/>
          <w:color w:val="000000"/>
        </w:rPr>
        <w:t>Limit on EPC power curve liquidated damages</w:t>
        <w:tab/>
        <w:tab/>
        <w:t>25% of the contract price</w:t>
      </w:r>
    </w:p>
    <w:p>
      <w:pPr>
        <w:pStyle w:val="Heading2"/>
        <w:numPr>
          <w:ilvl w:val="1"/>
          <w:numId w:val="3"/>
        </w:numPr>
        <w:ind w:hanging="360" w:start="1440" w:end="-36"/>
        <w:rPr>
          <w:rFonts w:ascii="Arial" w:hAnsi="Arial" w:cs="Arial"/>
          <w:b w:val="false"/>
          <w:i w:val="false"/>
          <w:i w:val="false"/>
          <w:color w:val="000000"/>
        </w:rPr>
      </w:pPr>
      <w:r>
        <w:rPr>
          <w:rFonts w:cs="Arial" w:ascii="Arial" w:hAnsi="Arial"/>
          <w:b w:val="false"/>
          <w:i w:val="false"/>
          <w:color w:val="000000"/>
        </w:rPr>
        <w:t>Limit on EPC availability liquidated damages</w:t>
        <w:tab/>
        <w:tab/>
        <w:t>25% of the contract price</w:t>
      </w:r>
    </w:p>
    <w:p>
      <w:pPr>
        <w:pStyle w:val="Heading2"/>
        <w:numPr>
          <w:ilvl w:val="0"/>
          <w:numId w:val="3"/>
        </w:numPr>
        <w:ind w:hanging="360" w:start="360" w:end="-36"/>
        <w:jc w:val="both"/>
        <w:rPr>
          <w:rFonts w:ascii="Arial" w:hAnsi="Arial" w:cs="Arial"/>
          <w:b w:val="false"/>
          <w:i w:val="false"/>
          <w:i w:val="false"/>
          <w:color w:val="000000"/>
        </w:rPr>
      </w:pPr>
      <w:r>
        <w:rPr>
          <w:rFonts w:cs="Arial" w:ascii="Arial" w:hAnsi="Arial"/>
          <w:b w:val="false"/>
          <w:i w:val="false"/>
          <w:color w:val="000000"/>
        </w:rPr>
        <w:t>EWC to guarantee the Contractor’s performance of its warranty obligations under the EPC contract ($182.0M), other than the above; This one-year guarantee on the Balance of Plant is limited to 100% of the contract price in aggregate.  Enron Corp. does not backstop this guarantee.</w:t>
      </w:r>
    </w:p>
    <w:p>
      <w:pPr>
        <w:pStyle w:val="Heading2"/>
        <w:numPr>
          <w:ilvl w:val="0"/>
          <w:numId w:val="3"/>
        </w:numPr>
        <w:ind w:hanging="360" w:start="360" w:end="-36"/>
        <w:jc w:val="both"/>
        <w:rPr>
          <w:rFonts w:ascii="Arial" w:hAnsi="Arial" w:cs="Arial"/>
          <w:b w:val="false"/>
          <w:i w:val="false"/>
          <w:i w:val="false"/>
        </w:rPr>
      </w:pPr>
      <w:r>
        <w:rPr>
          <w:rFonts w:cs="Arial" w:ascii="Arial" w:hAnsi="Arial"/>
          <w:b w:val="false"/>
          <w:i w:val="false"/>
        </w:rPr>
        <w:t>EWC to guarantee EWMC’s performance under the O&amp;M Agreements.  This guarantee extends for the duration of the 5-yr O&amp;M Agreement and is limited to the O&amp;M fees paid in the year of occurrence.  Enron Corp. does not backstop this guarantee.</w:t>
      </w:r>
    </w:p>
    <w:p>
      <w:pPr>
        <w:pStyle w:val="Heading2"/>
        <w:numPr>
          <w:ilvl w:val="0"/>
          <w:numId w:val="3"/>
        </w:numPr>
        <w:ind w:hanging="360" w:start="360" w:end="-36"/>
        <w:jc w:val="both"/>
        <w:rPr>
          <w:rFonts w:ascii="Arial" w:hAnsi="Arial" w:cs="Arial"/>
          <w:b w:val="false"/>
          <w:i w:val="false"/>
          <w:i w:val="false"/>
          <w:color w:val="000000"/>
        </w:rPr>
      </w:pPr>
      <w:r>
        <w:rPr>
          <w:rFonts w:cs="Arial" w:ascii="Arial" w:hAnsi="Arial"/>
          <w:b w:val="false"/>
          <w:i w:val="false"/>
          <w:color w:val="000000"/>
        </w:rPr>
        <w:t>EWC to provide additional turbine Guaranty during years 6 through 10 to the extent that kWh of electricity are below warranted levels that are not produced as a consequence of the power curve or wind turbine availability (including any offsets) capped at the amount of scheduled principal and interest shortfall on project term debt during the period the claim is due.</w:t>
      </w:r>
    </w:p>
    <w:p>
      <w:pPr>
        <w:pStyle w:val="Heading2"/>
        <w:widowControl/>
        <w:numPr>
          <w:ilvl w:val="0"/>
          <w:numId w:val="3"/>
        </w:numPr>
        <w:ind w:hanging="360" w:start="360" w:end="-36"/>
        <w:jc w:val="both"/>
        <w:rPr>
          <w:rFonts w:ascii="Arial" w:hAnsi="Arial" w:cs="Arial"/>
          <w:b w:val="false"/>
          <w:i w:val="false"/>
          <w:i w:val="false"/>
        </w:rPr>
      </w:pPr>
      <w:r>
        <w:rPr>
          <w:rFonts w:cs="Arial" w:ascii="Arial" w:hAnsi="Arial"/>
          <w:b w:val="false"/>
          <w:i w:val="false"/>
        </w:rPr>
        <w:t>Enron to guarantee EWC’s obligations under the purchase and sales agreements.</w:t>
      </w:r>
    </w:p>
    <w:p>
      <w:pPr>
        <w:pStyle w:val="Heading2"/>
        <w:numPr>
          <w:ilvl w:val="0"/>
          <w:numId w:val="3"/>
        </w:numPr>
        <w:ind w:hanging="360" w:start="360" w:end="-36"/>
        <w:jc w:val="both"/>
        <w:rPr>
          <w:rFonts w:ascii="Arial" w:hAnsi="Arial" w:cs="Arial"/>
          <w:b w:val="false"/>
          <w:i w:val="false"/>
          <w:i w:val="false"/>
        </w:rPr>
      </w:pPr>
      <w:r>
        <w:rPr>
          <w:rFonts w:cs="Arial" w:ascii="Arial" w:hAnsi="Arial"/>
          <w:b w:val="false"/>
          <w:i w:val="false"/>
        </w:rPr>
        <w:t>A $100 million guaranty by Enron Corporate of EPMI’s obligations under the PPA has been put in place.  As a condition to closing the financing for the project, the lender (Clarica Life) has required a MAC provision stating that in the event that Enron’s credit rating falls below investment grade, Enron is required to provide alternative means, acceptable to RAC, to cover its guaranty obligation.</w:t>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numPr>
          <w:ilvl w:val="0"/>
          <w:numId w:val="5"/>
        </w:numPr>
        <w:jc w:val="both"/>
        <w:rPr>
          <w:rFonts w:ascii="Arial" w:hAnsi="Arial" w:cs="Arial"/>
          <w:sz w:val="20"/>
        </w:rPr>
      </w:pPr>
      <w:r>
        <w:rPr>
          <w:rFonts w:cs="Arial" w:ascii="Arial" w:hAnsi="Arial"/>
          <w:sz w:val="20"/>
        </w:rPr>
        <w:t>EWC plans to sell 100% of its equity interests in Indian Mesa Power Partners I LP and Indian Mesa Power Partners II LP to CSWE for a total of $187.5 million.</w:t>
      </w:r>
    </w:p>
    <w:p>
      <w:pPr>
        <w:pStyle w:val="Normal"/>
        <w:numPr>
          <w:ilvl w:val="0"/>
          <w:numId w:val="5"/>
        </w:numPr>
        <w:jc w:val="both"/>
        <w:rPr>
          <w:rFonts w:ascii="Arial" w:hAnsi="Arial" w:cs="Arial"/>
          <w:sz w:val="20"/>
        </w:rPr>
      </w:pPr>
      <w:r>
        <w:rPr>
          <w:rFonts w:cs="Arial" w:ascii="Arial" w:hAnsi="Arial"/>
          <w:sz w:val="20"/>
        </w:rPr>
        <w:t>Enron Wind Maintenance Corp. (“EWMC”) will enter into an operations and maintenance contract (the “O&amp;M Agreements”) with each Project for annual fees of $14,000 (escalated) per turbine.</w:t>
      </w:r>
    </w:p>
    <w:p>
      <w:pPr>
        <w:pStyle w:val="Normal"/>
        <w:numPr>
          <w:ilvl w:val="0"/>
          <w:numId w:val="5"/>
        </w:numPr>
        <w:jc w:val="both"/>
        <w:rPr>
          <w:rFonts w:ascii="Arial" w:hAnsi="Arial" w:cs="Arial"/>
          <w:sz w:val="20"/>
        </w:rPr>
      </w:pPr>
      <w:r>
        <w:rPr>
          <w:rFonts w:cs="Arial" w:ascii="Arial" w:hAnsi="Arial"/>
          <w:sz w:val="20"/>
        </w:rPr>
        <w:t xml:space="preserve">AEP will guarantee the purchaser’s obligations under the purchase and sales agreements.  </w:t>
      </w:r>
    </w:p>
    <w:p>
      <w:pPr>
        <w:pStyle w:val="Normal"/>
        <w:numPr>
          <w:ilvl w:val="0"/>
          <w:numId w:val="5"/>
        </w:numPr>
        <w:jc w:val="both"/>
        <w:rPr>
          <w:rFonts w:ascii="Arial" w:hAnsi="Arial" w:cs="Arial"/>
          <w:sz w:val="20"/>
        </w:rPr>
      </w:pPr>
      <w:r>
        <w:rPr>
          <w:rFonts w:cs="Arial" w:ascii="Arial" w:hAnsi="Arial"/>
          <w:sz w:val="20"/>
        </w:rPr>
        <w:t xml:space="preserve">CSWE will guarantee the Projects’ obligations under the O&amp;M Agreements with EWMC and also guarantee warranty fees under the EPC Agreement with the Contractor.  </w:t>
      </w:r>
    </w:p>
    <w:p>
      <w:pPr>
        <w:pStyle w:val="Normal"/>
        <w:numPr>
          <w:ilvl w:val="0"/>
          <w:numId w:val="5"/>
        </w:numPr>
        <w:pBdr>
          <w:bottom w:val="single" w:sz="8" w:space="1" w:color="000000"/>
        </w:pBdr>
        <w:jc w:val="both"/>
        <w:rPr>
          <w:rFonts w:ascii="Arial" w:hAnsi="Arial" w:cs="Arial"/>
          <w:sz w:val="20"/>
        </w:rPr>
      </w:pPr>
      <w:r>
        <w:rPr>
          <w:rFonts w:cs="Arial" w:ascii="Arial" w:hAnsi="Arial"/>
          <w:sz w:val="20"/>
        </w:rPr>
        <w:t>EWC’s legal review of the proposed transaction documents did not reveal any residual risks retained by EWC beyond EWC’s normal course of business in turbine construction and sales.</w:t>
      </w:r>
      <w:r>
        <w:br w:type="page"/>
      </w:r>
    </w:p>
    <w:p>
      <w:pPr>
        <w:pStyle w:val="Normal"/>
        <w:pBdr>
          <w:bottom w:val="single" w:sz="8" w:space="1" w:color="000000"/>
        </w:pBdr>
        <w:jc w:val="both"/>
        <w:rPr>
          <w:rFonts w:ascii="Arial" w:hAnsi="Arial" w:cs="Arial"/>
          <w:sz w:val="20"/>
        </w:rPr>
      </w:pPr>
      <w:r>
        <w:rPr>
          <w:rFonts w:cs="Arial" w:ascii="Arial" w:hAnsi="Arial"/>
          <w:sz w:val="20"/>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rPr>
                <w:rFonts w:ascii="Arial" w:hAnsi="Arial" w:cs="Arial"/>
                <w:b/>
                <w:sz w:val="20"/>
              </w:rPr>
            </w:pPr>
            <w:r>
              <w:rPr>
                <w:rFonts w:cs="Arial" w:ascii="Arial" w:hAnsi="Arial"/>
                <w:b/>
                <w:sz w:val="20"/>
              </w:rPr>
              <w:t>RETURN SUMMARY</w:t>
            </w:r>
          </w:p>
        </w:tc>
        <w:tc>
          <w:tcPr>
            <w:tcW w:w="4414" w:type="dxa"/>
            <w:tcBorders/>
          </w:tcPr>
          <w:p>
            <w:pPr>
              <w:pStyle w:val="Normal"/>
              <w:jc w:val="end"/>
              <w:rPr>
                <w:rFonts w:ascii="Arial" w:hAnsi="Arial" w:cs="Arial"/>
                <w:sz w:val="20"/>
              </w:rPr>
            </w:pPr>
            <w:r>
              <w:rPr>
                <w:rFonts w:cs="Arial" w:ascii="Arial" w:hAnsi="Arial"/>
                <w:sz w:val="20"/>
              </w:rPr>
              <w:t>Specify Levered or Unlevered</w:t>
            </w:r>
          </w:p>
        </w:tc>
      </w:tr>
    </w:tbl>
    <w:p>
      <w:pPr>
        <w:pStyle w:val="Normal"/>
        <w:numPr>
          <w:ilvl w:val="0"/>
          <w:numId w:val="4"/>
        </w:numPr>
        <w:jc w:val="both"/>
        <w:rPr>
          <w:rFonts w:ascii="Arial" w:hAnsi="Arial" w:cs="Arial"/>
          <w:sz w:val="20"/>
        </w:rPr>
      </w:pPr>
      <w:r>
        <w:rPr>
          <w:rFonts w:cs="Arial" w:ascii="Arial" w:hAnsi="Arial"/>
          <w:sz w:val="20"/>
        </w:rPr>
        <w:t xml:space="preserve">The purchase and sales agreements will be terminated on or before March 31, 2002, if the conditions precedent to closing are not satisfied or waived.  </w:t>
      </w:r>
    </w:p>
    <w:p>
      <w:pPr>
        <w:pStyle w:val="Normal"/>
        <w:numPr>
          <w:ilvl w:val="0"/>
          <w:numId w:val="4"/>
        </w:numPr>
        <w:jc w:val="both"/>
        <w:rPr>
          <w:rFonts w:ascii="Arial" w:hAnsi="Arial" w:cs="Arial"/>
          <w:sz w:val="20"/>
        </w:rPr>
      </w:pPr>
      <w:r>
        <w:rPr>
          <w:rFonts w:cs="Arial" w:ascii="Arial" w:hAnsi="Arial"/>
          <w:sz w:val="20"/>
        </w:rPr>
        <w:t xml:space="preserve">Assuming closing </w:t>
      </w:r>
      <w:r>
        <w:rPr>
          <w:rFonts w:cs="Arial" w:ascii="Arial" w:hAnsi="Arial"/>
          <w:color w:val="000000"/>
          <w:sz w:val="20"/>
        </w:rPr>
        <w:t>on December 31,</w:t>
      </w:r>
      <w:r>
        <w:rPr>
          <w:rFonts w:cs="Arial" w:ascii="Arial" w:hAnsi="Arial"/>
          <w:color w:val="FF0000"/>
          <w:sz w:val="20"/>
        </w:rPr>
        <w:t xml:space="preserve"> </w:t>
      </w:r>
      <w:r>
        <w:rPr>
          <w:rFonts w:cs="Arial" w:ascii="Arial" w:hAnsi="Arial"/>
          <w:sz w:val="20"/>
        </w:rPr>
        <w:t xml:space="preserve">at the proposed purchase price, the sale will generate a total margin of $35.7 million at closing.  This provides a present value of  $33.4 million discounted at 14.50%. </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BodyText"/>
        <w:jc w:val="both"/>
        <w:rPr/>
      </w:pPr>
      <w:r>
        <w:rPr/>
        <w:t xml:space="preserve">Customary for similar transactions, refer to the conditions outlined in the Letter of Intent drafted by EWC and CSWE and signed by the parties on June 25, 2001.  </w:t>
      </w:r>
    </w:p>
    <w:p>
      <w:pPr>
        <w:pStyle w:val="BodyText"/>
        <w:rPr>
          <w:b/>
        </w:rPr>
      </w:pPr>
      <w:r>
        <w:rPr>
          <w:b/>
        </w:rPr>
      </w:r>
    </w:p>
    <w:p>
      <w:pPr>
        <w:pStyle w:val="Heading1"/>
        <w:pBdr>
          <w:top w:val="single" w:sz="4" w:space="1" w:color="000000"/>
        </w:pBdr>
        <w:ind w:hanging="0" w:start="0"/>
        <w:rPr/>
      </w:pPr>
      <w:r>
        <w:rPr/>
        <w:t>MILESTONES</w:t>
      </w:r>
    </w:p>
    <w:tbl>
      <w:tblPr>
        <w:tblW w:w="10440" w:type="dxa"/>
        <w:jc w:val="start"/>
        <w:tblInd w:w="0" w:type="dxa"/>
        <w:tblLayout w:type="fixed"/>
        <w:tblCellMar>
          <w:top w:w="0" w:type="dxa"/>
          <w:start w:w="108" w:type="dxa"/>
          <w:bottom w:w="0" w:type="dxa"/>
          <w:end w:w="108" w:type="dxa"/>
        </w:tblCellMar>
      </w:tblPr>
      <w:tblGrid>
        <w:gridCol w:w="7668"/>
        <w:gridCol w:w="2772"/>
      </w:tblGrid>
      <w:tr>
        <w:trPr/>
        <w:tc>
          <w:tcPr>
            <w:tcW w:w="7668" w:type="dxa"/>
            <w:tcBorders/>
          </w:tcPr>
          <w:p>
            <w:pPr>
              <w:pStyle w:val="Header"/>
              <w:widowControl/>
              <w:tabs>
                <w:tab w:val="clear" w:pos="4320"/>
                <w:tab w:val="clear" w:pos="8640"/>
              </w:tabs>
              <w:jc w:val="center"/>
              <w:rPr>
                <w:rFonts w:ascii="Arial" w:hAnsi="Arial" w:cs="Arial"/>
                <w:u w:val="single"/>
              </w:rPr>
            </w:pPr>
            <w:r>
              <w:rPr>
                <w:rFonts w:cs="Arial" w:ascii="Arial" w:hAnsi="Arial"/>
                <w:u w:val="single"/>
              </w:rPr>
              <w:t>Event</w:t>
            </w:r>
          </w:p>
        </w:tc>
        <w:tc>
          <w:tcPr>
            <w:tcW w:w="2772" w:type="dxa"/>
            <w:tcBorders/>
          </w:tcPr>
          <w:p>
            <w:pPr>
              <w:pStyle w:val="Header"/>
              <w:widowControl/>
              <w:tabs>
                <w:tab w:val="clear" w:pos="4320"/>
                <w:tab w:val="clear" w:pos="8640"/>
              </w:tabs>
              <w:jc w:val="center"/>
              <w:rPr>
                <w:rFonts w:ascii="Arial" w:hAnsi="Arial" w:cs="Arial"/>
                <w:u w:val="single"/>
              </w:rPr>
            </w:pPr>
            <w:r>
              <w:rPr>
                <w:rFonts w:cs="Arial" w:ascii="Arial" w:hAnsi="Arial"/>
                <w:u w:val="single"/>
              </w:rPr>
              <w:t>By Date</w:t>
            </w:r>
          </w:p>
        </w:tc>
      </w:tr>
      <w:tr>
        <w:trPr/>
        <w:tc>
          <w:tcPr>
            <w:tcW w:w="7668" w:type="dxa"/>
            <w:tcBorders/>
          </w:tcPr>
          <w:p>
            <w:pPr>
              <w:pStyle w:val="Normal"/>
              <w:numPr>
                <w:ilvl w:val="0"/>
                <w:numId w:val="2"/>
              </w:numPr>
              <w:rPr>
                <w:rFonts w:ascii="Arial" w:hAnsi="Arial" w:cs="Arial"/>
                <w:sz w:val="20"/>
              </w:rPr>
            </w:pPr>
            <w:r>
              <w:rPr>
                <w:rFonts w:cs="Arial" w:ascii="Arial" w:hAnsi="Arial"/>
                <w:sz w:val="20"/>
              </w:rPr>
              <w:t>Commencement of commercial operations</w:t>
            </w:r>
          </w:p>
        </w:tc>
        <w:tc>
          <w:tcPr>
            <w:tcW w:w="2772" w:type="dxa"/>
            <w:tcBorders/>
          </w:tcPr>
          <w:p>
            <w:pPr>
              <w:pStyle w:val="Header"/>
              <w:widowControl/>
              <w:tabs>
                <w:tab w:val="clear" w:pos="4320"/>
                <w:tab w:val="clear" w:pos="8640"/>
              </w:tabs>
              <w:rPr>
                <w:rFonts w:ascii="Arial" w:hAnsi="Arial" w:cs="Arial"/>
              </w:rPr>
            </w:pPr>
            <w:r>
              <w:rPr>
                <w:rFonts w:cs="Arial" w:ascii="Arial" w:hAnsi="Arial"/>
              </w:rPr>
              <w:t>December 31, 2001</w:t>
            </w:r>
          </w:p>
        </w:tc>
      </w:tr>
      <w:tr>
        <w:trPr/>
        <w:tc>
          <w:tcPr>
            <w:tcW w:w="7668" w:type="dxa"/>
            <w:tcBorders/>
          </w:tcPr>
          <w:p>
            <w:pPr>
              <w:pStyle w:val="Normal"/>
              <w:numPr>
                <w:ilvl w:val="0"/>
                <w:numId w:val="2"/>
              </w:numPr>
              <w:rPr>
                <w:rFonts w:ascii="Arial" w:hAnsi="Arial" w:cs="Arial"/>
                <w:sz w:val="20"/>
              </w:rPr>
            </w:pPr>
            <w:r>
              <w:rPr>
                <w:rFonts w:cs="Arial" w:ascii="Arial" w:hAnsi="Arial"/>
                <w:sz w:val="20"/>
              </w:rPr>
              <w:t>PSA expiration if not closed</w:t>
            </w:r>
          </w:p>
        </w:tc>
        <w:tc>
          <w:tcPr>
            <w:tcW w:w="2772" w:type="dxa"/>
            <w:tcBorders/>
          </w:tcPr>
          <w:p>
            <w:pPr>
              <w:pStyle w:val="Header"/>
              <w:widowControl/>
              <w:tabs>
                <w:tab w:val="clear" w:pos="4320"/>
                <w:tab w:val="clear" w:pos="8640"/>
              </w:tabs>
              <w:rPr>
                <w:rFonts w:ascii="Arial" w:hAnsi="Arial" w:cs="Arial"/>
              </w:rPr>
            </w:pPr>
            <w:r>
              <w:rPr>
                <w:rFonts w:cs="Arial" w:ascii="Arial" w:hAnsi="Arial"/>
              </w:rPr>
              <w:t>March 31, 2002</w:t>
            </w:r>
          </w:p>
        </w:tc>
      </w:tr>
    </w:tbl>
    <w:p>
      <w:pPr>
        <w:pStyle w:val="Normal"/>
        <w:rPr>
          <w:rFonts w:ascii="Arial" w:hAnsi="Arial" w:cs="Arial"/>
          <w:b/>
          <w:sz w:val="20"/>
        </w:rPr>
      </w:pPr>
      <w:r>
        <w:rPr>
          <w:rFonts w:cs="Arial" w:ascii="Arial" w:hAnsi="Arial"/>
          <w:b/>
          <w:sz w:val="20"/>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448" w:type="dxa"/>
            <w:tcBorders/>
          </w:tcPr>
          <w:p>
            <w:pPr>
              <w:pStyle w:val="Normal"/>
              <w:snapToGrid w:val="false"/>
              <w:spacing w:before="120" w:after="0"/>
              <w:rPr>
                <w:rFonts w:ascii="Arial" w:hAnsi="Arial" w:cs="Arial"/>
                <w:b/>
                <w:sz w:val="20"/>
              </w:rPr>
            </w:pPr>
            <w:r>
              <w:rPr>
                <w:rFonts w:cs="Arial" w:ascii="Arial" w:hAnsi="Arial"/>
                <w:b/>
                <w:sz w:val="20"/>
              </w:rPr>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bottom w:val="single" w:sz="6" w:space="0" w:color="000000"/>
            </w:tcBorders>
          </w:tcPr>
          <w:p>
            <w:pPr>
              <w:pStyle w:val="Header"/>
              <w:widowControl/>
              <w:tabs>
                <w:tab w:val="clear" w:pos="4320"/>
                <w:tab w:val="clear" w:pos="8640"/>
              </w:tabs>
              <w:snapToGrid w:val="false"/>
              <w:spacing w:before="120" w:after="0"/>
              <w:rPr>
                <w:rFonts w:ascii="Arial" w:hAnsi="Arial" w:cs="Arial"/>
                <w:sz w:val="20"/>
                <w:szCs w:val="24"/>
              </w:rPr>
            </w:pPr>
            <w:r>
              <w:rPr>
                <w:rFonts w:cs="Arial" w:ascii="Arial" w:hAnsi="Arial"/>
                <w:sz w:val="20"/>
                <w:szCs w:val="24"/>
              </w:rPr>
            </w:r>
          </w:p>
        </w:tc>
        <w:tc>
          <w:tcPr>
            <w:tcW w:w="354" w:type="dxa"/>
            <w:tcBorders/>
          </w:tcPr>
          <w:p>
            <w:pPr>
              <w:pStyle w:val="Normal"/>
              <w:snapToGrid w:val="false"/>
              <w:spacing w:before="120" w:after="0"/>
              <w:rPr>
                <w:rFonts w:ascii="Arial" w:hAnsi="Arial" w:cs="Arial"/>
                <w:sz w:val="20"/>
                <w:szCs w:val="24"/>
              </w:rPr>
            </w:pPr>
            <w:r>
              <w:rPr>
                <w:rFonts w:cs="Arial" w:ascii="Arial" w:hAnsi="Arial"/>
                <w:sz w:val="20"/>
                <w:szCs w:val="24"/>
              </w:rPr>
            </w:r>
          </w:p>
        </w:tc>
        <w:tc>
          <w:tcPr>
            <w:tcW w:w="2924"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Regional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Lamb</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color w:val="000000"/>
                <w:sz w:val="20"/>
              </w:rPr>
            </w:pPr>
            <w:r>
              <w:rPr>
                <w:rFonts w:cs="Arial" w:ascii="Arial" w:hAnsi="Arial"/>
                <w:color w:val="000000"/>
                <w:sz w:val="20"/>
              </w:rPr>
              <w:t>Regional Management</w:t>
            </w:r>
          </w:p>
        </w:tc>
        <w:tc>
          <w:tcPr>
            <w:tcW w:w="360" w:type="dxa"/>
            <w:tcBorders/>
          </w:tcPr>
          <w:p>
            <w:pPr>
              <w:pStyle w:val="Normal"/>
              <w:snapToGrid w:val="false"/>
              <w:spacing w:before="120" w:after="0"/>
              <w:rPr>
                <w:rFonts w:ascii="Arial" w:hAnsi="Arial" w:cs="Arial"/>
                <w:color w:val="000000"/>
                <w:sz w:val="20"/>
              </w:rPr>
            </w:pPr>
            <w:r>
              <w:rPr>
                <w:rFonts w:cs="Arial" w:ascii="Arial" w:hAnsi="Arial"/>
                <w:color w:val="000000"/>
                <w:sz w:val="20"/>
              </w:rPr>
            </w:r>
          </w:p>
        </w:tc>
        <w:tc>
          <w:tcPr>
            <w:tcW w:w="2932" w:type="dxa"/>
            <w:tcBorders>
              <w:top w:val="single" w:sz="6" w:space="0" w:color="000000"/>
              <w:bottom w:val="single" w:sz="6" w:space="0" w:color="000000"/>
            </w:tcBorders>
          </w:tcPr>
          <w:p>
            <w:pPr>
              <w:pStyle w:val="Normal"/>
              <w:spacing w:before="120" w:after="0"/>
              <w:rPr>
                <w:rFonts w:ascii="Arial" w:hAnsi="Arial" w:cs="Arial"/>
                <w:color w:val="000000"/>
                <w:sz w:val="20"/>
              </w:rPr>
            </w:pPr>
            <w:r>
              <w:rPr>
                <w:rFonts w:cs="Arial" w:ascii="Arial" w:hAnsi="Arial"/>
                <w:color w:val="000000"/>
                <w:sz w:val="20"/>
              </w:rPr>
              <w:t>Adam Umanoff</w:t>
            </w:r>
          </w:p>
        </w:tc>
        <w:tc>
          <w:tcPr>
            <w:tcW w:w="354" w:type="dxa"/>
            <w:tcBorders/>
          </w:tcPr>
          <w:p>
            <w:pPr>
              <w:pStyle w:val="Normal"/>
              <w:snapToGrid w:val="false"/>
              <w:spacing w:before="120" w:after="0"/>
              <w:rPr>
                <w:rFonts w:ascii="Arial" w:hAnsi="Arial" w:cs="Arial"/>
                <w:color w:val="000000"/>
                <w:sz w:val="20"/>
              </w:rPr>
            </w:pPr>
            <w:r>
              <w:rPr>
                <w:rFonts w:cs="Arial" w:ascii="Arial" w:hAnsi="Arial"/>
                <w:color w:val="000000"/>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Regional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Stan Horton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CRM</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Bill Bradford</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4" w:space="0" w:color="000000"/>
            </w:tcBorders>
          </w:tcPr>
          <w:p>
            <w:pPr>
              <w:pStyle w:val="Normal"/>
              <w:spacing w:before="120" w:after="0"/>
              <w:rPr>
                <w:rFonts w:ascii="Arial" w:hAnsi="Arial" w:cs="Arial"/>
                <w:sz w:val="20"/>
              </w:rPr>
            </w:pPr>
            <w:r>
              <w:rPr>
                <w:rFonts w:cs="Arial" w:ascii="Arial" w:hAnsi="Arial"/>
                <w:sz w:val="20"/>
              </w:rPr>
              <w:t>Ken Lay/Jeff Skilling</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Heading4"/>
        <w:pBdr>
          <w:top w:val="single" w:sz="8" w:space="1" w:color="000000"/>
        </w:pBdr>
        <w:tabs>
          <w:tab w:val="clear" w:pos="9990"/>
          <w:tab w:val="left" w:pos="10260" w:leader="none"/>
        </w:tabs>
        <w:rPr/>
      </w:pPr>
      <w:r>
        <w:rPr/>
      </w:r>
    </w:p>
    <w:p>
      <w:pPr>
        <w:pStyle w:val="Heading4"/>
        <w:pBdr>
          <w:top w:val="single" w:sz="8" w:space="1" w:color="000000"/>
        </w:pBdr>
        <w:tabs>
          <w:tab w:val="clear" w:pos="9990"/>
          <w:tab w:val="left" w:pos="10260" w:leader="none"/>
        </w:tabs>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t>DASH template V3.5</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IMII_Div_DASH_072501.doc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val="false"/>
      <w:i w:val="false"/>
    </w:rPr>
  </w:style>
  <w:style w:type="character" w:styleId="WW8Num4z0">
    <w:name w:val="WW8Num4z0"/>
    <w:qFormat/>
    <w:rPr>
      <w:b w:val="false"/>
      <w:i w:val="false"/>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2001-07-25T13:12:00Z</dcterms:created>
  <dc:creator>kjolly</dc:creator>
  <dc:description>V3.3
Updated to add filename to headers
</dc:description>
  <dc:language>en-CA</dc:language>
  <cp:lastModifiedBy>apolloc</cp:lastModifiedBy>
  <cp:lastPrinted>2001-07-25T09:44:00Z</cp:lastPrinted>
  <dcterms:modified xsi:type="dcterms:W3CDTF">2001-07-25T13:12:00Z</dcterms:modified>
  <cp:revision>2</cp:revision>
  <dc:subject/>
  <dc:title>ENRON RISK ASSESSMENT AND CONTROL</dc:title>
</cp:coreProperties>
</file>