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Laura Luce, Gregg Penman, Russell Murrell</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Roy Boston</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Enron Government Affairs, The Americas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ICC Gas Price NOI Meeting</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pPr>
      <w:r>
        <w:rPr/>
        <w:tab/>
        <w:t>Yesterday the Illinois Commerce Commission held a public meeting in Chicago in order to receive a presentation by staff’s Notice of Inquiry manager, Tom Kennedy regarding the final report from  00- NOI1, which pertained to the high natural gas prices experienced last heating season.</w:t>
      </w:r>
    </w:p>
    <w:p>
      <w:pPr>
        <w:pStyle w:val="Body"/>
        <w:rPr/>
      </w:pPr>
      <w:r>
        <w:rPr/>
      </w:r>
    </w:p>
    <w:p>
      <w:pPr>
        <w:pStyle w:val="Body"/>
        <w:rPr/>
      </w:pPr>
      <w:r>
        <w:rPr/>
        <w:tab/>
        <w:t>Although Harry Stoller and Rich Zuraski were present and at the table, the majority of the presentation was made by Mr. Kennedy.  The final report and all appendices amount to 150 pages so it is probably easier to access the report from the ICC web site (http://www.icc.state.il.us/icc/gas/noi.asp)– but be forewarned, the download is slow. Following are the main areas contained in the report and comments made by Mr. Kennedy regarding the issues.</w:t>
      </w:r>
    </w:p>
    <w:p>
      <w:pPr>
        <w:pStyle w:val="Body"/>
        <w:rPr/>
      </w:pPr>
      <w:r>
        <w:rPr/>
      </w:r>
    </w:p>
    <w:p>
      <w:pPr>
        <w:pStyle w:val="Body"/>
        <w:numPr>
          <w:ilvl w:val="0"/>
          <w:numId w:val="3"/>
        </w:numPr>
        <w:rPr/>
      </w:pPr>
      <w:r>
        <w:rPr/>
        <w:t>Prices rose as a result of demand and supply effects</w:t>
      </w:r>
    </w:p>
    <w:p>
      <w:pPr>
        <w:pStyle w:val="Body"/>
        <w:numPr>
          <w:ilvl w:val="0"/>
          <w:numId w:val="3"/>
        </w:numPr>
        <w:rPr/>
      </w:pPr>
      <w:r>
        <w:rPr/>
        <w:t>Supply lags demand because of persistent low prices</w:t>
      </w:r>
    </w:p>
    <w:p>
      <w:pPr>
        <w:pStyle w:val="Body"/>
        <w:numPr>
          <w:ilvl w:val="0"/>
          <w:numId w:val="3"/>
        </w:numPr>
        <w:rPr/>
      </w:pPr>
      <w:r>
        <w:rPr/>
        <w:t>Since prices were low before 2000-2001 heating season, storage was not filled to capacity.  TK commented that all of Illinois’ LDCs did a good job of filling their storage and that the less-than-full fields were in TX, OK and LA.</w:t>
      </w:r>
    </w:p>
    <w:p>
      <w:pPr>
        <w:pStyle w:val="Body"/>
        <w:numPr>
          <w:ilvl w:val="0"/>
          <w:numId w:val="3"/>
        </w:numPr>
        <w:rPr/>
      </w:pPr>
      <w:r>
        <w:rPr/>
        <w:t>Demand for natural gas was driven by, among other factors, increased consumption by electric generators and industrial uses</w:t>
      </w:r>
    </w:p>
    <w:p>
      <w:pPr>
        <w:pStyle w:val="Body"/>
        <w:numPr>
          <w:ilvl w:val="0"/>
          <w:numId w:val="3"/>
        </w:numPr>
        <w:rPr/>
      </w:pPr>
      <w:r>
        <w:rPr/>
        <w:t>Demand was high because December was 40% colder than the previous year, but was only 27% colder than average</w:t>
      </w:r>
    </w:p>
    <w:p>
      <w:pPr>
        <w:pStyle w:val="Body"/>
        <w:numPr>
          <w:ilvl w:val="0"/>
          <w:numId w:val="3"/>
        </w:numPr>
        <w:rPr/>
      </w:pPr>
      <w:r>
        <w:rPr/>
        <w:t>No LDC rate increases were experienced so the price rise was all commodity driven and was a pass-through with the exception of Nicor which had a sharing mechanism in place</w:t>
      </w:r>
    </w:p>
    <w:p>
      <w:pPr>
        <w:pStyle w:val="Body"/>
        <w:numPr>
          <w:ilvl w:val="0"/>
          <w:numId w:val="3"/>
        </w:numPr>
        <w:rPr/>
      </w:pPr>
      <w:r>
        <w:rPr/>
        <w:t>The prudency of high priced gas purchases are the subject of outstanding dockets and cannot be discussed outside of the hearings process</w:t>
      </w:r>
    </w:p>
    <w:p>
      <w:pPr>
        <w:pStyle w:val="Body"/>
        <w:numPr>
          <w:ilvl w:val="0"/>
          <w:numId w:val="3"/>
        </w:numPr>
        <w:rPr/>
      </w:pPr>
      <w:r>
        <w:rPr/>
        <w:t>Nobody has evidence that the price rise was the result of price manipulation</w:t>
      </w:r>
    </w:p>
    <w:p>
      <w:pPr>
        <w:pStyle w:val="Body"/>
        <w:numPr>
          <w:ilvl w:val="0"/>
          <w:numId w:val="3"/>
        </w:numPr>
        <w:rPr/>
      </w:pPr>
      <w:r>
        <w:rPr/>
        <w:t>There was an ample supply of gas – nobody was shut off because there wasn’t enough supply</w:t>
      </w:r>
    </w:p>
    <w:p>
      <w:pPr>
        <w:pStyle w:val="Body"/>
        <w:numPr>
          <w:ilvl w:val="0"/>
          <w:numId w:val="3"/>
        </w:numPr>
        <w:rPr/>
      </w:pPr>
      <w:r>
        <w:rPr/>
        <w:t>There were substantial efforts on the part of LDCs to educate consumers about the price rise, beginning in August last year, but customers were still shocked by prices</w:t>
      </w:r>
    </w:p>
    <w:p>
      <w:pPr>
        <w:pStyle w:val="Body"/>
        <w:numPr>
          <w:ilvl w:val="0"/>
          <w:numId w:val="3"/>
        </w:numPr>
        <w:rPr/>
      </w:pPr>
      <w:r>
        <w:rPr/>
        <w:t>Staff is not convinced that meter reading estimates were appropriate during the coldest time period</w:t>
      </w:r>
    </w:p>
    <w:p>
      <w:pPr>
        <w:pStyle w:val="Body"/>
        <w:numPr>
          <w:ilvl w:val="0"/>
          <w:numId w:val="3"/>
        </w:numPr>
        <w:rPr/>
      </w:pPr>
      <w:r>
        <w:rPr/>
        <w:t>LDCs want to know if they could recover hedging costs if the prices move in an opposite than anticipated direction</w:t>
      </w:r>
    </w:p>
    <w:p>
      <w:pPr>
        <w:pStyle w:val="Body"/>
        <w:numPr>
          <w:ilvl w:val="0"/>
          <w:numId w:val="3"/>
        </w:numPr>
        <w:rPr/>
      </w:pPr>
      <w:r>
        <w:rPr/>
        <w:t>Staff observes that hedging and forward contract purchases are subject to prudency reviews but will not be judged using hindsight – staff will look to see if the company did the best job it could at the time using contemporaneously available information</w:t>
      </w:r>
    </w:p>
    <w:p>
      <w:pPr>
        <w:pStyle w:val="Body"/>
        <w:numPr>
          <w:ilvl w:val="0"/>
          <w:numId w:val="3"/>
        </w:numPr>
        <w:rPr/>
      </w:pPr>
      <w:r>
        <w:rPr/>
        <w:t>Staff’s recommendations:</w:t>
      </w:r>
    </w:p>
    <w:p>
      <w:pPr>
        <w:pStyle w:val="Body"/>
        <w:numPr>
          <w:ilvl w:val="1"/>
          <w:numId w:val="2"/>
        </w:numPr>
        <w:rPr/>
      </w:pPr>
      <w:r>
        <w:rPr/>
        <w:t>Continue to use budget plans</w:t>
      </w:r>
    </w:p>
    <w:p>
      <w:pPr>
        <w:pStyle w:val="Body"/>
        <w:numPr>
          <w:ilvl w:val="1"/>
          <w:numId w:val="2"/>
        </w:numPr>
        <w:rPr/>
      </w:pPr>
      <w:r>
        <w:rPr/>
        <w:t>LDCs should identify and implement additional improvements</w:t>
      </w:r>
    </w:p>
    <w:p>
      <w:pPr>
        <w:pStyle w:val="Body"/>
        <w:numPr>
          <w:ilvl w:val="1"/>
          <w:numId w:val="2"/>
        </w:numPr>
        <w:rPr/>
      </w:pPr>
      <w:r>
        <w:rPr/>
        <w:t>There should be workshops to discuss the dissemination of energy use information</w:t>
      </w:r>
    </w:p>
    <w:p>
      <w:pPr>
        <w:pStyle w:val="Body"/>
        <w:numPr>
          <w:ilvl w:val="1"/>
          <w:numId w:val="2"/>
        </w:numPr>
        <w:rPr/>
      </w:pPr>
      <w:r>
        <w:rPr/>
        <w:t>Utilities should engage in prudent risk management measures to protect ratepayers although staff will not say how much of the portfolio should be risk managed – that is management’s decision.</w:t>
      </w:r>
    </w:p>
    <w:p>
      <w:pPr>
        <w:pStyle w:val="Body"/>
        <w:numPr>
          <w:ilvl w:val="0"/>
          <w:numId w:val="4"/>
        </w:numPr>
        <w:tabs>
          <w:tab w:val="left" w:pos="810" w:leader="none"/>
        </w:tabs>
        <w:ind w:hanging="360" w:start="810" w:end="0"/>
        <w:rPr/>
      </w:pPr>
      <w:r>
        <w:rPr/>
        <w:t>In response to Chairman Mathias’ questions TK indicated that marketers and producers made money from the recent price rise and mentioned Enron and Dynegy by name (annually reported earnings are attached in the appendices to the report)</w:t>
      </w:r>
    </w:p>
    <w:p>
      <w:pPr>
        <w:pStyle w:val="Body"/>
        <w:numPr>
          <w:ilvl w:val="0"/>
          <w:numId w:val="4"/>
        </w:numPr>
        <w:tabs>
          <w:tab w:val="left" w:pos="810" w:leader="none"/>
        </w:tabs>
        <w:ind w:hanging="360" w:start="810" w:end="0"/>
        <w:rPr/>
      </w:pPr>
      <w:r>
        <w:rPr/>
        <w:t>In response to Commissioner Hurley’s questions there was no evidence of price manipulation by any sector of the industry and that LDCs have a disincentive to increase prices unwarrantedly because they make money based on throughput</w:t>
      </w:r>
    </w:p>
    <w:p>
      <w:pPr>
        <w:pStyle w:val="Body"/>
        <w:numPr>
          <w:ilvl w:val="0"/>
          <w:numId w:val="4"/>
        </w:numPr>
        <w:tabs>
          <w:tab w:val="left" w:pos="810" w:leader="none"/>
        </w:tabs>
        <w:ind w:hanging="360" w:start="810" w:end="0"/>
        <w:rPr/>
      </w:pPr>
      <w:r>
        <w:rPr/>
        <w:t>ICC expects to see gas in the $3-4 ranges instead of the $1.5-2.00 ranges previously enjoyed</w:t>
      </w:r>
    </w:p>
    <w:p>
      <w:pPr>
        <w:pStyle w:val="Body"/>
        <w:numPr>
          <w:ilvl w:val="0"/>
          <w:numId w:val="4"/>
        </w:numPr>
        <w:tabs>
          <w:tab w:val="left" w:pos="810" w:leader="none"/>
        </w:tabs>
        <w:ind w:hanging="360" w:start="810" w:end="0"/>
        <w:rPr/>
      </w:pPr>
      <w:r>
        <w:rPr/>
        <w:t>The Chairman stated that he thought LDCs received a passing grade for educational effort but a failing grade for impact</w:t>
      </w:r>
    </w:p>
    <w:p>
      <w:pPr>
        <w:pStyle w:val="Body"/>
        <w:rPr/>
      </w:pPr>
      <w:r>
        <w:rPr/>
      </w:r>
    </w:p>
    <w:p>
      <w:pPr>
        <w:pStyle w:val="CopyList"/>
        <w:rPr/>
      </w:pPr>
      <w:r>
        <w:rPr/>
        <w:t>CC:</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o"/>
      <w:lvlJc w:val="start"/>
      <w:pPr>
        <w:tabs>
          <w:tab w:val="num" w:pos="792"/>
        </w:tabs>
        <w:ind w:start="792" w:hanging="360"/>
      </w:pPr>
      <w:rPr>
        <w:rFonts w:ascii="Courier New" w:hAnsi="Courier New" w:cs="Courier New" w:hint="default"/>
      </w:rPr>
    </w:lvl>
    <w:lvl w:ilvl="1">
      <w:start w:val="1"/>
      <w:numFmt w:val="decimal"/>
      <w:lvlText w:val="%2."/>
      <w:lvlJc w:val="start"/>
      <w:pPr>
        <w:tabs>
          <w:tab w:val="num" w:pos="1512"/>
        </w:tabs>
        <w:ind w:start="1512" w:hanging="360"/>
      </w:pPr>
    </w:lvl>
    <w:lvl w:ilvl="2">
      <w:start w:val="1"/>
      <w:numFmt w:val="bullet"/>
      <w:lvlText w:val="o"/>
      <w:lvlJc w:val="start"/>
      <w:pPr>
        <w:tabs>
          <w:tab w:val="num" w:pos="2232"/>
        </w:tabs>
        <w:ind w:start="2232" w:hanging="360"/>
      </w:pPr>
      <w:rPr>
        <w:rFonts w:ascii="Courier New" w:hAnsi="Courier New" w:cs="Courier New" w:hint="default"/>
      </w:rPr>
    </w:lvl>
    <w:lvl w:ilvl="3">
      <w:start w:val="1"/>
      <w:numFmt w:val="bullet"/>
      <w:lvlText w:val=""/>
      <w:lvlJc w:val="start"/>
      <w:pPr>
        <w:tabs>
          <w:tab w:val="num" w:pos="2952"/>
        </w:tabs>
        <w:ind w:start="2952" w:hanging="360"/>
      </w:pPr>
      <w:rPr>
        <w:rFonts w:ascii="Symbol" w:hAnsi="Symbol" w:cs="Symbol" w:hint="default"/>
      </w:rPr>
    </w:lvl>
    <w:lvl w:ilvl="4">
      <w:start w:val="1"/>
      <w:numFmt w:val="bullet"/>
      <w:lvlText w:val="o"/>
      <w:lvlJc w:val="start"/>
      <w:pPr>
        <w:tabs>
          <w:tab w:val="num" w:pos="3672"/>
        </w:tabs>
        <w:ind w:start="3672" w:hanging="360"/>
      </w:pPr>
      <w:rPr>
        <w:rFonts w:ascii="Courier New" w:hAnsi="Courier New" w:cs="Courier New" w:hint="default"/>
      </w:rPr>
    </w:lvl>
    <w:lvl w:ilvl="5">
      <w:start w:val="1"/>
      <w:numFmt w:val="bullet"/>
      <w:lvlText w:val=""/>
      <w:lvlJc w:val="start"/>
      <w:pPr>
        <w:tabs>
          <w:tab w:val="num" w:pos="4392"/>
        </w:tabs>
        <w:ind w:start="4392" w:hanging="360"/>
      </w:pPr>
      <w:rPr>
        <w:rFonts w:ascii="Wingdings" w:hAnsi="Wingdings" w:cs="Wingdings" w:hint="default"/>
      </w:rPr>
    </w:lvl>
    <w:lvl w:ilvl="6">
      <w:start w:val="1"/>
      <w:numFmt w:val="bullet"/>
      <w:lvlText w:val=""/>
      <w:lvlJc w:val="start"/>
      <w:pPr>
        <w:tabs>
          <w:tab w:val="num" w:pos="5112"/>
        </w:tabs>
        <w:ind w:start="5112" w:hanging="360"/>
      </w:pPr>
      <w:rPr>
        <w:rFonts w:ascii="Symbol" w:hAnsi="Symbol" w:cs="Symbol" w:hint="default"/>
      </w:rPr>
    </w:lvl>
    <w:lvl w:ilvl="7">
      <w:start w:val="1"/>
      <w:numFmt w:val="bullet"/>
      <w:lvlText w:val="o"/>
      <w:lvlJc w:val="start"/>
      <w:pPr>
        <w:tabs>
          <w:tab w:val="num" w:pos="5832"/>
        </w:tabs>
        <w:ind w:start="5832" w:hanging="360"/>
      </w:pPr>
      <w:rPr>
        <w:rFonts w:ascii="Courier New" w:hAnsi="Courier New" w:cs="Courier New" w:hint="default"/>
      </w:rPr>
    </w:lvl>
    <w:lvl w:ilvl="8">
      <w:start w:val="1"/>
      <w:numFmt w:val="bullet"/>
      <w:lvlText w:val=""/>
      <w:lvlJc w:val="start"/>
      <w:pPr>
        <w:tabs>
          <w:tab w:val="num" w:pos="6552"/>
        </w:tabs>
        <w:ind w:start="6552" w:hanging="360"/>
      </w:pPr>
      <w:rPr>
        <w:rFonts w:ascii="Wingdings" w:hAnsi="Wingdings" w:cs="Wingdings" w:hint="default"/>
      </w:rPr>
    </w:lvl>
  </w:abstractNum>
  <w:abstractNum w:abstractNumId="3">
    <w:lvl w:ilvl="0">
      <w:start w:val="1"/>
      <w:numFmt w:val="bullet"/>
      <w:lvlText w:val="o"/>
      <w:lvlJc w:val="start"/>
      <w:pPr>
        <w:tabs>
          <w:tab w:val="num" w:pos="792"/>
        </w:tabs>
        <w:ind w:start="792" w:hanging="360"/>
      </w:pPr>
      <w:rPr>
        <w:rFonts w:ascii="Courier New" w:hAnsi="Courier New" w:cs="Courier New" w:hint="default"/>
      </w:rPr>
    </w:lvl>
  </w:abstractNum>
  <w:abstractNum w:abstractNumId="4">
    <w:lvl w:ilvl="0">
      <w:start w:val="1"/>
      <w:numFmt w:val="bullet"/>
      <w:lvlText w:val="o"/>
      <w:lvlJc w:val="start"/>
      <w:pPr>
        <w:tabs>
          <w:tab w:val="num" w:pos="1170"/>
        </w:tabs>
        <w:ind w:start="1170" w:hanging="360"/>
      </w:pPr>
      <w:rPr>
        <w:rFonts w:ascii="Courier New" w:hAnsi="Courier New" w:cs="Courier New"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rFonts w:ascii="Courier New" w:hAnsi="Courier New" w:cs="Courier New"/>
    </w:rPr>
  </w:style>
  <w:style w:type="character" w:styleId="WW8Num1z3">
    <w:name w:val="WW8Num1z3"/>
    <w:qFormat/>
    <w:rPr>
      <w:rFonts w:ascii="Symbol" w:hAnsi="Symbol" w:cs="Symbol"/>
    </w:rPr>
  </w:style>
  <w:style w:type="character" w:styleId="WW8Num1z5">
    <w:name w:val="WW8Num1z5"/>
    <w:qFormat/>
    <w:rPr>
      <w:rFonts w:ascii="Wingdings" w:hAnsi="Wingdings" w:cs="Wingdings"/>
    </w:rPr>
  </w:style>
  <w:style w:type="character" w:styleId="WW8Num2z0">
    <w:name w:val="WW8Num2z0"/>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2001-04-18T17:06:00Z</dcterms:created>
  <dc:creator>rboston</dc:creator>
  <dc:description/>
  <dc:language>en-CA</dc:language>
  <cp:lastModifiedBy>rboston</cp:lastModifiedBy>
  <dcterms:modified xsi:type="dcterms:W3CDTF">2001-04-18T17:36:00Z</dcterms:modified>
  <cp:revision>1</cp:revision>
  <dc:subject/>
  <dc:title>Better, Faster, Simpler Memo </dc:title>
</cp:coreProperties>
</file>