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pPr>
      <w:r>
        <w:rPr/>
        <w:t>Scope of Services</w:t>
      </w:r>
    </w:p>
    <w:p>
      <w:pPr>
        <w:pStyle w:val="Normal"/>
        <w:autoSpaceDE w:val="false"/>
        <w:rPr/>
      </w:pPr>
      <w:r>
        <w:rPr/>
      </w:r>
    </w:p>
    <w:p>
      <w:pPr>
        <w:pStyle w:val="Normal"/>
        <w:autoSpaceDE w:val="false"/>
        <w:rPr/>
      </w:pPr>
      <w:r>
        <w:rPr/>
        <w:t>The scope of services to be provided through this ILA including asset management and scheduling services include the following:</w:t>
      </w:r>
    </w:p>
    <w:p>
      <w:pPr>
        <w:pStyle w:val="Normal"/>
        <w:autoSpaceDE w:val="false"/>
        <w:rPr/>
      </w:pPr>
      <w:r>
        <w:rPr/>
      </w:r>
    </w:p>
    <w:p>
      <w:pPr>
        <w:pStyle w:val="Heading4"/>
        <w:ind w:hanging="0" w:start="0"/>
        <w:rPr/>
      </w:pPr>
      <w:r>
        <w:rPr>
          <w:rPrChange w:id="0" w:author="Unknown" w:date="2001-04-27T14:30:00Z"/>
        </w:rPr>
        <w:t>Asset Management Scope of Services</w:t>
      </w:r>
    </w:p>
    <w:p>
      <w:pPr>
        <w:pStyle w:val="Heading3"/>
        <w:rPr/>
      </w:pPr>
      <w:r>
        <w:rPr/>
      </w:r>
    </w:p>
    <w:p>
      <w:pPr>
        <w:pStyle w:val="Heading3"/>
        <w:rPr>
          <w:b w:val="false"/>
          <w:bCs w:val="false"/>
          <w:u w:val="single"/>
        </w:rPr>
      </w:pPr>
      <w:r>
        <w:rPr>
          <w:b w:val="false"/>
          <w:bCs w:val="false"/>
          <w:u w:val="single"/>
        </w:rPr>
        <w:t>Contracted Resources</w:t>
      </w:r>
    </w:p>
    <w:p>
      <w:pPr>
        <w:pStyle w:val="Normal"/>
        <w:ind w:start="360" w:end="0"/>
        <w:rPr>
          <w:b/>
          <w:bCs/>
          <w:u w:val="single"/>
        </w:rPr>
      </w:pPr>
      <w:r>
        <w:rPr>
          <w:b/>
          <w:bCs/>
          <w:u w:val="single"/>
        </w:rPr>
      </w:r>
    </w:p>
    <w:p>
      <w:pPr>
        <w:pStyle w:val="Normal"/>
        <w:numPr>
          <w:ilvl w:val="0"/>
          <w:numId w:val="6"/>
        </w:numPr>
        <w:rPr/>
      </w:pPr>
      <w:r>
        <w:rPr/>
        <w:t>Manage existing natural gas contracts</w:t>
      </w:r>
    </w:p>
    <w:p>
      <w:pPr>
        <w:pStyle w:val="Normal"/>
        <w:numPr>
          <w:ilvl w:val="0"/>
          <w:numId w:val="6"/>
        </w:numPr>
        <w:rPr/>
      </w:pPr>
      <w:r>
        <w:rPr/>
        <w:t>Make recommendations concerning purchase of fuel</w:t>
      </w:r>
    </w:p>
    <w:p>
      <w:pPr>
        <w:pStyle w:val="Normal"/>
        <w:numPr>
          <w:ilvl w:val="0"/>
          <w:numId w:val="6"/>
        </w:numPr>
        <w:rPr/>
      </w:pPr>
      <w:r>
        <w:rPr/>
        <w:t>Schedule natural gas, fuel oil and transportation; release natural gas for economic reasons</w:t>
      </w:r>
    </w:p>
    <w:p>
      <w:pPr>
        <w:pStyle w:val="Normal"/>
        <w:numPr>
          <w:ilvl w:val="0"/>
          <w:numId w:val="6"/>
        </w:numPr>
        <w:rPr/>
      </w:pPr>
      <w:r>
        <w:rPr/>
        <w:t>Load Forecasting to facilitate power purchase and scheduling</w:t>
      </w:r>
    </w:p>
    <w:p>
      <w:pPr>
        <w:pStyle w:val="Normal"/>
        <w:numPr>
          <w:ilvl w:val="0"/>
          <w:numId w:val="6"/>
        </w:numPr>
        <w:rPr/>
      </w:pPr>
      <w:r>
        <w:rPr/>
        <w:t>Optimized scheduling of firm contracted power</w:t>
      </w:r>
    </w:p>
    <w:p>
      <w:pPr>
        <w:pStyle w:val="Normal"/>
        <w:numPr>
          <w:ilvl w:val="0"/>
          <w:numId w:val="6"/>
        </w:numPr>
        <w:rPr/>
      </w:pPr>
      <w:r>
        <w:rPr/>
        <w:t>Manage network service contract</w:t>
      </w:r>
    </w:p>
    <w:p>
      <w:pPr>
        <w:pStyle w:val="Normal"/>
        <w:numPr>
          <w:ilvl w:val="0"/>
          <w:numId w:val="6"/>
        </w:numPr>
        <w:rPr/>
      </w:pPr>
      <w:r>
        <w:rPr/>
        <w:t>Arrange for backup and replacement resources, as needed</w:t>
      </w:r>
    </w:p>
    <w:p>
      <w:pPr>
        <w:pStyle w:val="Normal"/>
        <w:numPr>
          <w:ilvl w:val="0"/>
          <w:numId w:val="6"/>
        </w:numPr>
        <w:rPr/>
      </w:pPr>
      <w:r>
        <w:rPr/>
        <w:t>Risk management services</w:t>
      </w:r>
    </w:p>
    <w:p>
      <w:pPr>
        <w:pStyle w:val="Normal"/>
        <w:numPr>
          <w:ilvl w:val="0"/>
          <w:numId w:val="6"/>
        </w:numPr>
        <w:rPr/>
      </w:pPr>
      <w:r>
        <w:rPr/>
        <w:t xml:space="preserve">24 hour trading of natural gas </w:t>
      </w:r>
    </w:p>
    <w:p>
      <w:pPr>
        <w:pStyle w:val="Normal"/>
        <w:numPr>
          <w:ilvl w:val="0"/>
          <w:numId w:val="6"/>
        </w:numPr>
        <w:rPr/>
      </w:pPr>
      <w:r>
        <w:rPr/>
        <w:t>Long term trading</w:t>
      </w:r>
    </w:p>
    <w:p>
      <w:pPr>
        <w:pStyle w:val="Normal"/>
        <w:ind w:start="360" w:end="0"/>
        <w:rPr/>
      </w:pPr>
      <w:r>
        <w:rPr/>
      </w:r>
    </w:p>
    <w:p>
      <w:pPr>
        <w:pStyle w:val="Heading8"/>
        <w:rPr>
          <w:b w:val="false"/>
          <w:bCs w:val="false"/>
        </w:rPr>
      </w:pPr>
      <w:r>
        <w:rPr>
          <w:b w:val="false"/>
          <w:bCs w:val="false"/>
        </w:rPr>
        <w:t>Market Activities</w:t>
      </w:r>
    </w:p>
    <w:p>
      <w:pPr>
        <w:pStyle w:val="Normal"/>
        <w:rPr>
          <w:b/>
          <w:bCs/>
        </w:rPr>
      </w:pPr>
      <w:r>
        <w:rPr>
          <w:b/>
          <w:bCs/>
        </w:rPr>
      </w:r>
    </w:p>
    <w:p>
      <w:pPr>
        <w:pStyle w:val="Normal"/>
        <w:numPr>
          <w:ilvl w:val="0"/>
          <w:numId w:val="5"/>
        </w:numPr>
        <w:rPr/>
      </w:pPr>
      <w:r>
        <w:rPr/>
        <w:t>Enter wholesale transactions to secure power and gas to serve MDEA native power load</w:t>
      </w:r>
    </w:p>
    <w:p>
      <w:pPr>
        <w:pStyle w:val="Normal"/>
        <w:numPr>
          <w:ilvl w:val="0"/>
          <w:numId w:val="5"/>
        </w:numPr>
        <w:rPr/>
      </w:pPr>
      <w:r>
        <w:rPr/>
        <w:t>Dispatch MDEA generation to serve native load and/or sell Products to the wholesale market</w:t>
      </w:r>
    </w:p>
    <w:p>
      <w:pPr>
        <w:pStyle w:val="Normal"/>
        <w:ind w:start="360" w:end="0"/>
        <w:rPr/>
      </w:pPr>
      <w:r>
        <w:rPr/>
      </w:r>
    </w:p>
    <w:p>
      <w:pPr>
        <w:pStyle w:val="Heading2"/>
        <w:ind w:hanging="0" w:start="360" w:end="0"/>
        <w:jc w:val="start"/>
        <w:rPr>
          <w:u w:val="single"/>
        </w:rPr>
      </w:pPr>
      <w:r>
        <w:rPr>
          <w:u w:val="single"/>
        </w:rPr>
        <w:t>Owned Resource Management</w:t>
      </w:r>
    </w:p>
    <w:p>
      <w:pPr>
        <w:pStyle w:val="Normal"/>
        <w:numPr>
          <w:ilvl w:val="0"/>
          <w:numId w:val="7"/>
        </w:numPr>
        <w:rPr/>
      </w:pPr>
      <w:r>
        <w:rPr/>
        <w:t>Make recommendations concerning economic dispatch of generation assets</w:t>
      </w:r>
    </w:p>
    <w:p>
      <w:pPr>
        <w:pStyle w:val="Normal"/>
        <w:numPr>
          <w:ilvl w:val="0"/>
          <w:numId w:val="7"/>
        </w:numPr>
        <w:rPr/>
      </w:pPr>
      <w:r>
        <w:rPr/>
        <w:t>Conduct basic engineering review and recommendations for optimization of power generation equipment  [need description concerning scope of review]</w:t>
      </w:r>
    </w:p>
    <w:p>
      <w:pPr>
        <w:pStyle w:val="Normal"/>
        <w:numPr>
          <w:ilvl w:val="0"/>
          <w:numId w:val="7"/>
        </w:numPr>
        <w:rPr/>
      </w:pPr>
      <w:r>
        <w:rPr/>
        <w:t>Risk management services</w:t>
      </w:r>
    </w:p>
    <w:p>
      <w:pPr>
        <w:pStyle w:val="Normal"/>
        <w:numPr>
          <w:ilvl w:val="0"/>
          <w:numId w:val="7"/>
        </w:numPr>
        <w:rPr/>
      </w:pPr>
      <w:r>
        <w:rPr/>
        <w:t>24 hour trading of power</w:t>
      </w:r>
    </w:p>
    <w:p>
      <w:pPr>
        <w:pStyle w:val="Normal"/>
        <w:numPr>
          <w:ilvl w:val="0"/>
          <w:numId w:val="7"/>
        </w:numPr>
        <w:rPr/>
      </w:pPr>
      <w:r>
        <w:rPr/>
        <w:t>Long term trading</w:t>
      </w:r>
    </w:p>
    <w:p>
      <w:pPr>
        <w:pStyle w:val="Normal"/>
        <w:ind w:start="360" w:end="0"/>
        <w:rPr>
          <w:b/>
          <w:bCs/>
        </w:rPr>
      </w:pPr>
      <w:r>
        <w:rPr>
          <w:b/>
          <w:bCs/>
        </w:rPr>
      </w:r>
    </w:p>
    <w:p>
      <w:pPr>
        <w:pStyle w:val="Heading2"/>
        <w:ind w:hanging="0" w:start="360" w:end="0"/>
        <w:rPr>
          <w:u w:val="single"/>
        </w:rPr>
      </w:pPr>
      <w:r>
        <w:rPr>
          <w:u w:val="single"/>
        </w:rPr>
        <w:t>Hardware/Software Installation and Setup</w:t>
      </w:r>
    </w:p>
    <w:p>
      <w:pPr>
        <w:pStyle w:val="Normal"/>
        <w:numPr>
          <w:ilvl w:val="0"/>
          <w:numId w:val="3"/>
        </w:numPr>
        <w:rPr/>
      </w:pPr>
      <w:r>
        <w:rPr/>
        <w:t>Hardware and software monitoring and control systems installation and tie-in to Houston control room</w:t>
      </w:r>
    </w:p>
    <w:p>
      <w:pPr>
        <w:pStyle w:val="Normal"/>
        <w:numPr>
          <w:ilvl w:val="0"/>
          <w:numId w:val="3"/>
        </w:numPr>
        <w:rPr/>
      </w:pPr>
      <w:r>
        <w:rPr/>
        <w:t>Provide and configure/program server and router in Clarksdale control room</w:t>
      </w:r>
    </w:p>
    <w:p>
      <w:pPr>
        <w:pStyle w:val="Normal"/>
        <w:numPr>
          <w:ilvl w:val="0"/>
          <w:numId w:val="3"/>
        </w:numPr>
        <w:rPr/>
      </w:pPr>
      <w:r>
        <w:rPr/>
        <w:t>Arrange for installation of frame relay line to be installed into Clarksdale control room</w:t>
      </w:r>
    </w:p>
    <w:p>
      <w:pPr>
        <w:pStyle w:val="Normal"/>
        <w:numPr>
          <w:ilvl w:val="0"/>
          <w:numId w:val="3"/>
        </w:numPr>
        <w:rPr/>
      </w:pPr>
      <w:r>
        <w:rPr/>
        <w:t>Complete necessary technical work to connect router and server to Clarksdale control room</w:t>
      </w:r>
    </w:p>
    <w:p>
      <w:pPr>
        <w:pStyle w:val="Normal"/>
        <w:numPr>
          <w:ilvl w:val="0"/>
          <w:numId w:val="3"/>
        </w:numPr>
        <w:rPr/>
      </w:pPr>
      <w:r>
        <w:rPr/>
        <w:t xml:space="preserve">Installation of monitoring and control software on remote server in Clarksdale </w:t>
      </w:r>
    </w:p>
    <w:p>
      <w:pPr>
        <w:pStyle w:val="Normal"/>
        <w:numPr>
          <w:ilvl w:val="0"/>
          <w:numId w:val="3"/>
        </w:numPr>
        <w:rPr/>
      </w:pPr>
      <w:r>
        <w:rPr/>
        <w:t>Set-up of internet based monitoring systems</w:t>
      </w:r>
    </w:p>
    <w:p>
      <w:pPr>
        <w:pStyle w:val="Normal"/>
        <w:numPr>
          <w:ilvl w:val="0"/>
          <w:numId w:val="3"/>
        </w:numPr>
        <w:rPr/>
      </w:pPr>
      <w:r>
        <w:rPr/>
        <w:t>Set-up of web site for information access to MDEA</w:t>
      </w:r>
    </w:p>
    <w:p>
      <w:pPr>
        <w:pStyle w:val="Normal"/>
        <w:numPr>
          <w:ilvl w:val="0"/>
          <w:numId w:val="3"/>
        </w:numPr>
        <w:rPr/>
      </w:pPr>
      <w:r>
        <w:rPr/>
        <w:t>Development of operational procedures</w:t>
      </w:r>
    </w:p>
    <w:p>
      <w:pPr>
        <w:pStyle w:val="Normal"/>
        <w:numPr>
          <w:ilvl w:val="0"/>
          <w:numId w:val="3"/>
        </w:numPr>
        <w:rPr/>
      </w:pPr>
      <w:r>
        <w:rPr/>
        <w:t>Hardware, communication line, etc between Clarksdale and Yazoo City to be done by MDEA</w:t>
      </w:r>
    </w:p>
    <w:p>
      <w:pPr>
        <w:pStyle w:val="Normal"/>
        <w:autoSpaceDE w:val="false"/>
        <w:rPr/>
      </w:pPr>
      <w:r>
        <w:rPr/>
      </w:r>
    </w:p>
    <w:p>
      <w:pPr>
        <w:pStyle w:val="Heading4"/>
        <w:ind w:hanging="0" w:start="0"/>
        <w:rPr/>
      </w:pPr>
      <w:r>
        <w:rPr>
          <w:rPrChange w:id="0" w:author="Unknown" w:date="0-00-00T00:00:00Z"/>
        </w:rPr>
        <w:t>Scheduling Services</w:t>
      </w:r>
    </w:p>
    <w:p>
      <w:pPr>
        <w:pStyle w:val="Heading1"/>
        <w:ind w:hanging="0" w:start="720" w:end="0"/>
        <w:rPr/>
      </w:pPr>
      <w:r>
        <w:rPr/>
      </w:r>
    </w:p>
    <w:p>
      <w:pPr>
        <w:pStyle w:val="Normal"/>
        <w:numPr>
          <w:ilvl w:val="0"/>
          <w:numId w:val="2"/>
        </w:numPr>
        <w:rPr/>
      </w:pPr>
      <w:r>
        <w:rPr/>
        <w:t>NERC tagging and scheduling</w:t>
      </w:r>
    </w:p>
    <w:p>
      <w:pPr>
        <w:pStyle w:val="Normal"/>
        <w:numPr>
          <w:ilvl w:val="0"/>
          <w:numId w:val="2"/>
        </w:numPr>
        <w:rPr/>
      </w:pPr>
      <w:r>
        <w:rPr/>
        <w:t>Arrange for ancillary services</w:t>
      </w:r>
    </w:p>
    <w:p>
      <w:pPr>
        <w:pStyle w:val="Normal"/>
        <w:numPr>
          <w:ilvl w:val="0"/>
          <w:numId w:val="2"/>
        </w:numPr>
        <w:rPr/>
      </w:pPr>
      <w:r>
        <w:rPr/>
        <w:t>Satisfy all of the SPP protocol requirements to become a Scheduling Entity</w:t>
      </w:r>
    </w:p>
    <w:p>
      <w:pPr>
        <w:pStyle w:val="Normal"/>
        <w:ind w:start="990" w:end="0"/>
        <w:jc w:val="both"/>
        <w:rPr>
          <w:sz w:val="22"/>
        </w:rPr>
      </w:pPr>
      <w:r>
        <w:rPr>
          <w:sz w:val="22"/>
        </w:rPr>
      </w:r>
    </w:p>
    <w:p>
      <w:pPr>
        <w:pStyle w:val="Normal"/>
        <w:numPr>
          <w:ilvl w:val="0"/>
          <w:numId w:val="4"/>
        </w:numPr>
        <w:tabs>
          <w:tab w:val="clear" w:pos="720"/>
          <w:tab w:val="left" w:pos="2430" w:leader="none"/>
        </w:tabs>
        <w:jc w:val="both"/>
        <w:rPr>
          <w:sz w:val="22"/>
        </w:rPr>
      </w:pPr>
      <w:r>
        <w:rPr>
          <w:sz w:val="22"/>
        </w:rPr>
        <w:t xml:space="preserve">Proof of registration and certification requirements; </w:t>
      </w:r>
    </w:p>
    <w:p>
      <w:pPr>
        <w:pStyle w:val="Normal"/>
        <w:numPr>
          <w:ilvl w:val="0"/>
          <w:numId w:val="4"/>
        </w:numPr>
        <w:tabs>
          <w:tab w:val="clear" w:pos="720"/>
          <w:tab w:val="left" w:pos="2430" w:leader="none"/>
        </w:tabs>
        <w:jc w:val="both"/>
        <w:rPr>
          <w:sz w:val="22"/>
        </w:rPr>
      </w:pPr>
      <w:r>
        <w:rPr>
          <w:sz w:val="22"/>
        </w:rPr>
        <w:t>Proof of completion of the Connection Agreement to the SPP Private Network and Site Survey request;</w:t>
      </w:r>
    </w:p>
    <w:p>
      <w:pPr>
        <w:pStyle w:val="Normal"/>
        <w:numPr>
          <w:ilvl w:val="0"/>
          <w:numId w:val="4"/>
        </w:numPr>
        <w:tabs>
          <w:tab w:val="clear" w:pos="720"/>
          <w:tab w:val="left" w:pos="2430" w:leader="none"/>
        </w:tabs>
        <w:jc w:val="both"/>
        <w:rPr>
          <w:sz w:val="22"/>
        </w:rPr>
      </w:pPr>
      <w:r>
        <w:rPr>
          <w:sz w:val="22"/>
        </w:rPr>
        <w:t>Maintain financial security requirements with appropriate indemnification obligations;</w:t>
      </w:r>
    </w:p>
    <w:p>
      <w:pPr>
        <w:pStyle w:val="Normal"/>
        <w:numPr>
          <w:ilvl w:val="0"/>
          <w:numId w:val="4"/>
        </w:numPr>
        <w:tabs>
          <w:tab w:val="clear" w:pos="720"/>
          <w:tab w:val="left" w:pos="2430" w:leader="none"/>
        </w:tabs>
        <w:jc w:val="both"/>
        <w:rPr>
          <w:sz w:val="22"/>
        </w:rPr>
      </w:pPr>
      <w:r>
        <w:rPr>
          <w:sz w:val="22"/>
        </w:rPr>
        <w:t>Maintain a 24-hour, seven day per week scheduling and trading operation with qualified personnel;</w:t>
      </w:r>
    </w:p>
    <w:p>
      <w:pPr>
        <w:pStyle w:val="Normal"/>
        <w:numPr>
          <w:ilvl w:val="0"/>
          <w:numId w:val="4"/>
        </w:numPr>
        <w:tabs>
          <w:tab w:val="clear" w:pos="720"/>
          <w:tab w:val="left" w:pos="2430" w:leader="none"/>
        </w:tabs>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4"/>
        </w:numPr>
        <w:tabs>
          <w:tab w:val="clear" w:pos="720"/>
          <w:tab w:val="left" w:pos="2430" w:leader="none"/>
        </w:tabs>
        <w:jc w:val="both"/>
        <w:rPr>
          <w:sz w:val="22"/>
        </w:rPr>
      </w:pPr>
      <w:r>
        <w:rPr>
          <w:sz w:val="22"/>
        </w:rPr>
        <w:t>Submit schedules for supply, load, and transmission capacity from all entities it serves;</w:t>
      </w:r>
    </w:p>
    <w:p>
      <w:pPr>
        <w:pStyle w:val="Normal"/>
        <w:numPr>
          <w:ilvl w:val="0"/>
          <w:numId w:val="4"/>
        </w:numPr>
        <w:tabs>
          <w:tab w:val="clear" w:pos="720"/>
          <w:tab w:val="left" w:pos="2430" w:leader="none"/>
        </w:tabs>
        <w:jc w:val="both"/>
        <w:rPr>
          <w:sz w:val="22"/>
        </w:rPr>
      </w:pPr>
      <w:r>
        <w:rPr>
          <w:sz w:val="22"/>
        </w:rPr>
        <w:t>Communicate planned outages and report scheduled and forced maintenance outages; and</w:t>
      </w:r>
    </w:p>
    <w:p>
      <w:pPr>
        <w:pStyle w:val="Normal"/>
        <w:numPr>
          <w:ilvl w:val="0"/>
          <w:numId w:val="4"/>
        </w:numPr>
        <w:tabs>
          <w:tab w:val="clear" w:pos="720"/>
          <w:tab w:val="left" w:pos="2430" w:leader="none"/>
        </w:tabs>
        <w:jc w:val="both"/>
        <w:rPr>
          <w:sz w:val="22"/>
        </w:rPr>
      </w:pPr>
      <w:r>
        <w:rPr>
          <w:sz w:val="22"/>
        </w:rPr>
        <w:t>Dispatch and communicate emergency orders from the ISO.</w:t>
      </w:r>
    </w:p>
    <w:p>
      <w:pPr>
        <w:pStyle w:val="Normal"/>
        <w:ind w:start="360" w:end="0"/>
        <w:rPr>
          <w:sz w:val="22"/>
        </w:rPr>
      </w:pPr>
      <w:r>
        <w:rPr>
          <w:sz w:val="22"/>
        </w:rPr>
      </w:r>
    </w:p>
    <w:p>
      <w:pPr>
        <w:pStyle w:val="Normal"/>
        <w:numPr>
          <w:ilvl w:val="0"/>
          <w:numId w:val="2"/>
        </w:numPr>
        <w:rPr/>
      </w:pPr>
      <w:r>
        <w:rPr/>
        <w:t>Participation in market testing in SPP, SERC, or successor RTO(s) or NERC regions with regard to scheduling services, as necessary</w:t>
      </w:r>
    </w:p>
    <w:p>
      <w:pPr>
        <w:pStyle w:val="Normal"/>
        <w:autoSpaceDE w:val="false"/>
        <w:rPr/>
      </w:pPr>
      <w:r>
        <w:rPr/>
      </w:r>
    </w:p>
    <w:p>
      <w:pPr>
        <w:pStyle w:val="Heading4"/>
        <w:ind w:hanging="0" w:start="0"/>
        <w:rPr/>
      </w:pPr>
      <w:r>
        <w:rPr>
          <w:rPrChange w:id="0" w:author="Unknown" w:date="2001-04-27T14:31:00Z"/>
        </w:rPr>
        <w:t>Transactions and Pricing</w:t>
      </w:r>
    </w:p>
    <w:p>
      <w:pPr>
        <w:pStyle w:val="Normal"/>
        <w:autoSpaceDE w:val="false"/>
        <w:rPr/>
      </w:pPr>
      <w:r>
        <w:rPr/>
      </w:r>
    </w:p>
    <w:p>
      <w:pPr>
        <w:pStyle w:val="Normal"/>
        <w:autoSpaceDE w:val="false"/>
        <w:rPr/>
      </w:pPr>
      <w:r>
        <w:rPr/>
        <w:t>During the term of the ILA, the following transactions will be contemplated:</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EPMI purchases off-peak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on-peak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gas to run generation assets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excess generation from MDEA under an EPMI transaction</w:t>
      </w:r>
    </w:p>
    <w:p>
      <w:pPr>
        <w:pStyle w:val="Normal"/>
        <w:autoSpaceDE w:val="false"/>
        <w:rPr/>
      </w:pPr>
      <w:r>
        <w:rPr/>
      </w:r>
    </w:p>
    <w:p>
      <w:pPr>
        <w:pStyle w:val="Normal"/>
        <w:autoSpaceDE w:val="false"/>
        <w:rPr/>
      </w:pPr>
      <w:r>
        <w:rPr/>
        <w:t>Daily decisions will be made regarding serving native load via power purchased from the wholesale market or power generated from owned generation assets based on the target power production cost.  The target power production cost is characteristic of the Clarksdale and Yazoo City generation assets and is a function of but not necessarily limited to the following variables:</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 xml:space="preserve">specific unit heat rates, </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gas price, </w:t>
      </w:r>
    </w:p>
    <w:p>
      <w:pPr>
        <w:pStyle w:val="Normal"/>
        <w:autoSpaceDE w:val="false"/>
        <w:ind w:hanging="360" w:start="720" w:end="0"/>
        <w:rPr/>
      </w:pPr>
      <w:r>
        <w:rPr>
          <w:rFonts w:cs="Symbol" w:ascii="Symbol" w:hAnsi="Symbol"/>
        </w:rPr>
        <w:sym w:font="Symbol" w:char="f0b7"/>
      </w:r>
      <w:r>
        <w:rPr>
          <w:rFonts w:cs="Symbol" w:ascii="Symbol" w:hAnsi="Symbol"/>
        </w:rPr>
        <w:tab/>
      </w:r>
      <w:r>
        <w:rPr/>
        <w:t>variable operation and maintenance costs (VOM), and</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start-up and shut-down costs.  </w:t>
      </w:r>
    </w:p>
    <w:p>
      <w:pPr>
        <w:pStyle w:val="Normal"/>
        <w:autoSpaceDE w:val="false"/>
        <w:rPr/>
      </w:pPr>
      <w:r>
        <w:rPr/>
      </w:r>
    </w:p>
    <w:p>
      <w:pPr>
        <w:pStyle w:val="BodyText"/>
        <w:rPr/>
      </w:pPr>
      <w:r>
        <w:rPr/>
        <w:t xml:space="preserve">Each day, EPMI and MDEA’s energy coordinator will communicate on such issues as market conditions, MDEA load forecast, generation asset availability, unit availability, and maintenance to determine the target production cost for the day. The target production cost will be the day’s guideline for making power purchase/dispatch decisions.  </w:t>
      </w:r>
    </w:p>
    <w:p>
      <w:pPr>
        <w:pStyle w:val="Normal"/>
        <w:autoSpaceDE w:val="false"/>
        <w:rPr>
          <w:rFonts w:ascii="Arial" w:hAnsi="Arial" w:cs="Arial"/>
          <w:sz w:val="20"/>
          <w:szCs w:val="20"/>
        </w:rPr>
      </w:pPr>
      <w:r>
        <w:rPr>
          <w:rFonts w:cs="Arial" w:ascii="Arial" w:hAnsi="Arial"/>
          <w:sz w:val="20"/>
          <w:szCs w:val="20"/>
        </w:rPr>
      </w:r>
    </w:p>
    <w:p>
      <w:pPr>
        <w:pStyle w:val="Heading2"/>
        <w:widowControl/>
        <w:tabs>
          <w:tab w:val="clear" w:pos="1800"/>
        </w:tabs>
        <w:ind w:firstLine="720" w:end="0"/>
        <w:jc w:val="start"/>
        <w:rPr>
          <w:rFonts w:ascii="Arial" w:hAnsi="Arial" w:cs="Arial"/>
          <w:sz w:val="20"/>
          <w:szCs w:val="20"/>
        </w:rPr>
      </w:pPr>
      <w:r>
        <w:rPr>
          <w:rFonts w:cs="Arial" w:ascii="Arial" w:hAnsi="Arial"/>
          <w:sz w:val="20"/>
          <w:szCs w:val="20"/>
        </w:rPr>
      </w:r>
    </w:p>
    <w:p>
      <w:pPr>
        <w:pStyle w:val="Heading2"/>
        <w:widowControl/>
        <w:tabs>
          <w:tab w:val="clear" w:pos="1800"/>
        </w:tabs>
        <w:ind w:hanging="0" w:end="0"/>
        <w:jc w:val="start"/>
        <w:rPr>
          <w:b/>
          <w:bCs/>
          <w:u w:val="single"/>
        </w:rPr>
      </w:pPr>
      <w:r>
        <w:rPr>
          <w:b/>
          <w:bCs/>
          <w:u w:val="single"/>
        </w:rPr>
        <w:t>Fees</w:t>
      </w:r>
    </w:p>
    <w:p>
      <w:pPr>
        <w:pStyle w:val="Heading2"/>
        <w:widowControl/>
        <w:tabs>
          <w:tab w:val="clear" w:pos="1800"/>
        </w:tabs>
        <w:ind w:firstLine="720" w:end="0"/>
        <w:rPr/>
      </w:pPr>
      <w:r>
        <w:rPr/>
        <w:t>(a)</w:t>
        <w:tab/>
        <w:t xml:space="preserve">During the Term of this ILA, EPMI shall be entitled to a fee for performance as follows: </w:t>
      </w:r>
    </w:p>
    <w:p>
      <w:pPr>
        <w:pStyle w:val="Heading2"/>
        <w:widowControl/>
        <w:tabs>
          <w:tab w:val="clear" w:pos="1800"/>
        </w:tabs>
        <w:ind w:hanging="0" w:end="0"/>
        <w:rPr/>
      </w:pPr>
      <w:r>
        <w:rPr/>
        <w:t>EPMI shall be paid a minimum monthly fee of $14,500 for the month of May.  The Monthly Fee shall be comprised of an Incentive Fee and a fee for the sale of off peak power as described below. EPMI shall be paid an Incentive Fee consisting of the sum of of (i) the Market Price for power purchased by MDEA, plus (ii) Forty Percent (40%) of  the Total Daily Savings.   Total Daily Savings is the product of (1) the Savings per MWh calculated for the day, times (2) the total MWh for the same day of market power purchased to serve system load.</w:t>
      </w:r>
    </w:p>
    <w:p>
      <w:pPr>
        <w:pStyle w:val="Normal"/>
        <w:jc w:val="both"/>
        <w:rPr/>
      </w:pPr>
      <w:r>
        <w:rPr/>
        <w:t xml:space="preserve">Total Daily Profit per MWh is calculated as the sum of the product of MWh sold and the realized market price less the Target Production Cost. </w:t>
      </w:r>
    </w:p>
    <w:p>
      <w:pPr>
        <w:pStyle w:val="Normal"/>
        <w:jc w:val="both"/>
        <w:rPr/>
      </w:pPr>
      <w:r>
        <w:rPr/>
      </w:r>
    </w:p>
    <w:p>
      <w:pPr>
        <w:pStyle w:val="Normal"/>
        <w:jc w:val="both"/>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EPMI shall be paid $1/MWhr above the delivered price of purchases of Off-Peak Power.  These amounts shall not be included in the calculation of Profit and Savings.</w:t>
      </w:r>
    </w:p>
    <w:p>
      <w:pPr>
        <w:pStyle w:val="Normal"/>
        <w:jc w:val="both"/>
        <w:rPr/>
      </w:pPr>
      <w:r>
        <w:rPr/>
      </w:r>
    </w:p>
    <w:p>
      <w:pPr>
        <w:pStyle w:val="Heading2"/>
        <w:widowControl/>
        <w:tabs>
          <w:tab w:val="clear" w:pos="1800"/>
          <w:tab w:val="left" w:pos="0" w:leader="none"/>
        </w:tabs>
        <w:ind w:hanging="0" w:end="0"/>
        <w:rPr/>
      </w:pPr>
      <w:r>
        <w:rPr/>
        <w:t>During the Term of this Agreement, EPMI shall be paid for gas supply sold to Clarksdale and Yazoo City individually, under the terms of the MGSSA, unless such gas supply purchase has been arranged by EPMI for purchase from a third party for sale to MDEA, in which case, MDEA shall pay such third party supplier directly based on invoices provided by the third party supplier.</w:t>
      </w:r>
    </w:p>
    <w:p>
      <w:pPr>
        <w:pStyle w:val="Heading2"/>
        <w:widowControl/>
        <w:tabs>
          <w:tab w:val="clear" w:pos="1800"/>
          <w:tab w:val="left" w:pos="0" w:leader="none"/>
        </w:tabs>
        <w:ind w:hanging="0" w:end="0"/>
        <w:rPr/>
      </w:pPr>
      <w:r>
        <w:rPr/>
        <w:t>During the Term of this Agreement, EPMI shall be paid for power sold to MDEA under the terms and conditions of individual Confirmations (attached as Exhibit “AA”) governing each transaction, until a MPPSA has been executed between the parties.</w:t>
      </w:r>
    </w:p>
    <w:p>
      <w:pPr>
        <w:pStyle w:val="Heading2"/>
        <w:widowControl/>
        <w:tabs>
          <w:tab w:val="clear" w:pos="1800"/>
          <w:tab w:val="left" w:pos="0" w:leader="none"/>
        </w:tabs>
        <w:rPr/>
      </w:pPr>
      <w:r>
        <w:rPr/>
      </w:r>
    </w:p>
    <w:p>
      <w:pPr>
        <w:pStyle w:val="Heading2"/>
        <w:widowControl/>
        <w:tabs>
          <w:tab w:val="clear" w:pos="1800"/>
        </w:tabs>
        <w:ind w:firstLine="720" w:end="0"/>
        <w:rPr/>
      </w:pPr>
      <w:r>
        <w:rPr/>
        <w:t>(b)</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4"/>
        <w:autoSpaceDE w:val="true"/>
        <w:ind w:hanging="0" w:start="0"/>
        <w:rPr/>
      </w:pPr>
      <w:r>
        <w:rPr>
          <w:rPrChange w:id="0" w:author="Unknown" w:date="0-00-00T00:00:00Z"/>
        </w:rPr>
        <w:t>Termination</w:t>
      </w:r>
    </w:p>
    <w:p>
      <w:pPr>
        <w:pStyle w:val="Normal"/>
        <w:ind w:start="360" w:end="0"/>
        <w:rPr/>
      </w:pPr>
      <w:r>
        <w:rPr/>
      </w:r>
    </w:p>
    <w:p>
      <w:pPr>
        <w:pStyle w:val="Normal"/>
        <w:rPr/>
      </w:pPr>
      <w:r>
        <w:rPr/>
        <w:t>If this IAL is terminated prior to May 31, EPMI shall be entitled to receive any unpaid Incentive Fee, in the minimum amount of $150,000 for costs incurred through the month of May unless specified otherwise in the definitive Asset Management Agreement</w:t>
      </w:r>
    </w:p>
    <w:p>
      <w:pPr>
        <w:pStyle w:val="Heading2"/>
        <w:widowControl/>
        <w:tabs>
          <w:tab w:val="clear" w:pos="1800"/>
          <w:tab w:val="left" w:pos="0" w:leader="none"/>
        </w:tabs>
        <w:ind w:hanging="0" w:end="0"/>
        <w:rPr/>
      </w:pPr>
      <w:r>
        <w:rPr/>
      </w:r>
    </w:p>
    <w:p>
      <w:pPr>
        <w:pStyle w:val="Heading2"/>
        <w:tabs>
          <w:tab w:val="clear" w:pos="1800"/>
          <w:tab w:val="left" w:pos="720" w:leader="none"/>
        </w:tabs>
        <w:ind w:hanging="0" w:end="0"/>
        <w:rPr/>
      </w:pPr>
      <w:r>
        <w:rPr/>
        <w:t xml:space="preserve">The Parties hereby agree that Parties shall have the right but not the obligation to set off and discharge mutual debts and payment obligations due and owing to each other pursuant to this Agreement, the MPPSA, and MGPSA through netting, in which case amounts owed by each Party to the other Party under any provisions of this Agreement or the MPPSA and MGPSA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and MGPSA, that Party shall pay such sum in full when due.</w:t>
      </w:r>
    </w:p>
    <w:p>
      <w:pPr>
        <w:pStyle w:val="Normal"/>
        <w:rPr/>
      </w:pPr>
      <w:r>
        <w:rPr/>
        <w:t xml:space="preserve">Each Party shall have a general right of set-off with respect to all amounts due and owing by each Party to the other Party under this Agreement or any other agreement between the Parties, including without limitation, the MPPSA and the MGPSA.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keepNext w:val="true"/>
      <w:numPr>
        <w:ilvl w:val="3"/>
        <w:numId w:val="1"/>
      </w:numPr>
      <w:autoSpaceDE w:val="false"/>
      <w:outlineLvl w:val="3"/>
    </w:pPr>
    <w:rPr>
      <w:b/>
      <w:bCs/>
      <w:u w:val="single"/>
    </w:rPr>
  </w:style>
  <w:style w:type="paragraph" w:styleId="Heading8">
    <w:name w:val="heading 8"/>
    <w:basedOn w:val="Normal"/>
    <w:next w:val="Normal"/>
    <w:qFormat/>
    <w:pPr>
      <w:keepNext w:val="true"/>
      <w:numPr>
        <w:ilvl w:val="7"/>
        <w:numId w:val="1"/>
      </w:numPr>
      <w:ind w:hanging="0" w:start="360" w:end="0"/>
      <w:outlineLvl w:val="7"/>
    </w:pPr>
    <w:rPr>
      <w:b/>
      <w:bCs/>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2001-04-27T17:01:00Z</dcterms:created>
  <dc:creator>David Fairley</dc:creator>
  <dc:description/>
  <dc:language>en-CA</dc:language>
  <cp:lastModifiedBy>rrorscha</cp:lastModifiedBy>
  <cp:lastPrinted>2001-04-27T15:18:00Z</cp:lastPrinted>
  <dcterms:modified xsi:type="dcterms:W3CDTF">2001-04-27T18:10:00Z</dcterms:modified>
  <cp:revision>4</cp:revision>
  <dc:subject/>
  <dc:title>During the term of the ILA, the following transactions will be contemplated:</dc:title>
</cp:coreProperties>
</file>