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instrText xml:space="preserve"> FORMTEXT </w:instrText>
            </w:r>
            <w:r>
              <w:rPr/>
            </w:r>
            <w:r>
              <w:rPr/>
              <w:fldChar w:fldCharType="separate"/>
            </w:r>
            <w:r>
              <w:rPr/>
              <w:t>Aquila, Inc.</w:t>
            </w:r>
            <w:r>
              <w:rPr/>
            </w:r>
            <w:r>
              <w:rPr/>
              <w:fldChar w:fldCharType="end"/>
            </w:r>
            <w:r>
              <w:rPr/>
              <w:t xml:space="preserve"> (</w:t>
            </w:r>
            <w:r>
              <w:fldChar w:fldCharType="begin">
                <w:ffData>
                  <w:name w:val="TRC_TICKER"/>
                  <w:enabled/>
                  <w:calcOnExit w:val="0"/>
                  <w:textInput/>
                </w:ffData>
              </w:fldChar>
            </w:r>
            <w:r>
              <w:rPr/>
              <w:instrText xml:space="preserve"> FORMTEXT </w:instrText>
            </w:r>
            <w:r>
              <w:rPr/>
            </w:r>
            <w:r>
              <w:rPr/>
              <w:fldChar w:fldCharType="separate"/>
            </w:r>
            <w:r>
              <w:rPr/>
              <w:t>ILA</w:t>
            </w:r>
            <w:r>
              <w:rPr/>
            </w:r>
            <w:r>
              <w:rPr/>
              <w:fldChar w:fldCharType="end"/>
            </w:r>
            <w:r>
              <w:rPr/>
              <w:t>)</w:t>
            </w:r>
            <w:r>
              <w:fldChar w:fldCharType="begin">
                <w:ffData>
                  <w:name w:val="trc_IB_Relation"/>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ILA: Initiating Coverage of a Pure-Play Energy Merchant</w:t>
            </w:r>
            <w:r/>
            <w:r>
              <w:rPr/>
              <w:fldChar w:fldCharType="end"/>
            </w:r>
            <w:r>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
                  <w:enabled/>
                  <w:calcOnExit w:val="0"/>
                  <w:textInput/>
                </w:ffData>
              </w:fldChar>
            </w:r>
            <w:r>
              <w:rPr/>
              <w:instrText xml:space="preserve"> FORMTEXT </w:instrText>
            </w:r>
            <w:r>
              <w:rPr/>
            </w:r>
            <w:r>
              <w:rPr/>
              <w:fldChar w:fldCharType="separate"/>
            </w:r>
            <w:r>
              <w:rPr/>
              <w:t>H</w:t>
            </w:r>
            <w:r>
              <w:rPr/>
            </w:r>
            <w:r>
              <w:rPr/>
              <w:fldChar w:fldCharType="end"/>
            </w:r>
            <w:r>
              <w:rPr>
                <w:rStyle w:val="SSBRatingDescription"/>
              </w:rPr>
              <w:t xml:space="preserve"> (</w:t>
            </w:r>
            <w:r>
              <w:fldChar w:fldCharType="begin">
                <w:ffData>
                  <w:name w:val="TRC_RATING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Buy</w:t>
            </w:r>
            <w:r>
              <w:rPr>
                <w:rStyle w:val="SSBRatingDescription"/>
              </w:rPr>
            </w:r>
            <w:r>
              <w:rPr>
                <w:rStyle w:val="SSBRatingDescription"/>
              </w:rPr>
              <w:fldChar w:fldCharType="end"/>
            </w:r>
            <w:r>
              <w:rPr>
                <w:rStyle w:val="SSBRatingDescription"/>
              </w:rPr>
              <w:t xml:space="preserve">, </w:t>
            </w:r>
            <w:r>
              <w:fldChar w:fldCharType="begin">
                <w:ffData>
                  <w:name w:val="TRC_RISK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High Risk</w:t>
            </w:r>
            <w:r>
              <w:rPr>
                <w:rStyle w:val="SSBRatingDescription"/>
              </w:rPr>
            </w:r>
            <w:r>
              <w:rPr>
                <w:rStyle w:val="SSBRatingDescription"/>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$3,173.6</w:t>
            </w:r>
            <w:r>
              <w:rPr>
                <w:rStyle w:val="SSBMarketCapNumber"/>
              </w:rPr>
            </w:r>
            <w:r>
              <w:rPr>
                <w:rStyle w:val="SSBMarketCapNumber"/>
              </w:rPr>
              <w:fldChar w:fldCharType="end"/>
            </w:r>
            <w:r>
              <w:rPr>
                <w:rStyle w:val="SSBMarketCapNumber"/>
              </w:rPr>
              <w:t xml:space="preserve"> </w:t>
            </w:r>
            <w:r>
              <w:fldChar w:fldCharType="begin">
                <w:ffData>
                  <w:name w:val="TRC_MKTCAP_U"/>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mil.</w:t>
            </w:r>
            <w:r/>
            <w:r>
              <w:rPr>
                <w:rStyle w:val="SSBMarketCapNumber"/>
              </w:rPr>
              <w:fldChar w:fldCharType="end"/>
            </w:r>
            <w:r>
              <w:rPr>
                <w:rStyle w:val="SSBMarketCapNumber"/>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May 21, 2001</w:t>
            </w:r>
            <w:r/>
            <w:r>
              <w:rPr/>
              <w:fldChar w:fldCharType="end"/>
            </w:r>
            <w:r>
              <w:rPr/>
            </w:r>
          </w:p>
          <w:p>
            <w:pPr>
              <w:pStyle w:val="SSBBlackLine"/>
              <w:ind w:end="1890"/>
              <w:rPr/>
            </w:pPr>
            <w:r>
              <w:rPr/>
            </w:r>
          </w:p>
          <w:p>
            <w:pPr>
              <w:pStyle w:val="SSBHeading"/>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pPr>
            <w:r>
              <w:rPr/>
            </w:r>
          </w:p>
          <w:p>
            <w:pPr>
              <w:pStyle w:val="SSBAnalystEmail"/>
              <w:rPr/>
            </w:pPr>
            <w:r>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pPr>
            <w:r>
              <w:rPr/>
            </w:r>
          </w:p>
          <w:p>
            <w:pPr>
              <w:pStyle w:val="SSBAnalystEmail"/>
              <w:rPr/>
            </w:pPr>
            <w:r>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     </w:t>
            </w:r>
            <w:r/>
            <w:r>
              <w:rPr>
                <w:b w:val="false"/>
              </w:rPr>
              <w:fldChar w:fldCharType="end"/>
            </w:r>
            <w:r>
              <w:rPr>
                <w:b w:val="false"/>
              </w:rPr>
            </w:r>
          </w:p>
          <w:p>
            <w:pPr>
              <w:pStyle w:val="SSBAnalystPhone"/>
              <w:rPr/>
            </w:pPr>
            <w:r>
              <w:rPr/>
            </w:r>
          </w:p>
          <w:p>
            <w:pPr>
              <w:pStyle w:val="SSBAnalystEmail"/>
              <w:rPr/>
            </w:pPr>
            <w:r>
              <w:rPr/>
            </w:r>
          </w:p>
        </w:tc>
        <w:tc>
          <w:tcPr>
            <w:tcW w:w="6957" w:type="dxa"/>
            <w:gridSpan w:val="3"/>
            <w:tcBorders/>
          </w:tcPr>
          <w:p>
            <w:pPr>
              <w:pStyle w:val="SSBSummaryHeading"/>
              <w:rPr/>
            </w:pPr>
            <w:r>
              <w:rPr/>
              <w:t>SUMMARY</w:t>
            </w:r>
          </w:p>
          <w:p>
            <w:pPr>
              <w:pStyle w:val="SSBSummary"/>
              <w:numPr>
                <w:ilvl w:val="0"/>
                <w:numId w:val="2"/>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We initiate coverage of Aquila, Inc. with a 1H (Buy, High Risk) rating and a 12-month price target of $44.</w:t>
            </w:r>
            <w:r>
              <w:rPr>
                <w:lang w:val="en-CA"/>
              </w:rPr>
            </w:r>
          </w:p>
          <w:p>
            <w:pPr>
              <w:pStyle w:val="SSBSummary"/>
              <w:numPr>
                <w:ilvl w:val="0"/>
                <w:numId w:val="2"/>
              </w:numPr>
              <w:ind w:hanging="0" w:start="0"/>
              <w:rPr>
                <w:lang w:val="en-CA"/>
              </w:rPr>
            </w:pPr>
            <w:r>
              <w:rPr>
                <w:lang w:val="en-CA"/>
              </w:rPr>
              <w:t>Aquila is a pure-play Energy Merchant, leveraging their strong trading and risk management skills in the rapidly growing energy commodity markets.  Aquila was an early mover into these deregulating markets, and has shown strong traction over recent years, which we believe is sustainable long-term.</w:t>
            </w:r>
          </w:p>
          <w:p>
            <w:pPr>
              <w:pStyle w:val="SSBSummary"/>
              <w:numPr>
                <w:ilvl w:val="0"/>
                <w:numId w:val="2"/>
              </w:numPr>
              <w:ind w:hanging="0" w:start="0"/>
              <w:rPr>
                <w:lang w:val="en-CA"/>
              </w:rPr>
            </w:pPr>
            <w:r>
              <w:rPr>
                <w:lang w:val="en-CA"/>
              </w:rPr>
              <w:t>We project a 20-25% growth rate for ILA driven by our robust outlook for wholesale energy and the potential for successful expansion into new commodities and geographies.</w:t>
            </w:r>
          </w:p>
          <w:p>
            <w:pPr>
              <w:pStyle w:val="SSBSummary"/>
              <w:numPr>
                <w:ilvl w:val="0"/>
                <w:numId w:val="2"/>
              </w:numPr>
              <w:spacing w:before="0" w:after="60"/>
              <w:ind w:hanging="0" w:start="0"/>
              <w:rPr/>
            </w:pPr>
            <w:r>
              <w:rPr>
                <w:lang w:val="en-CA"/>
              </w:rPr>
              <w:t>At a 2002 0.7x P/E-to-growth (PEG) ratio, ILA is trading at a significant discount to their Energy Merchant peer average of 1.0x. Based on its strong track record and potential for industry-leading earnings growth, we place a PEG value on ILA of 1.0x 2002 earnings, leading to our $44 price target.</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PE"/>
                  <w:enabled/>
                  <w:calcOnExit w:val="0"/>
                  <w:textInput/>
                </w:ffData>
              </w:fldChar>
            </w:r>
            <w:r>
              <w:rPr/>
              <w:instrText xml:space="preserve"> FORMTEXT </w:instrText>
            </w:r>
            <w:r>
              <w:rPr/>
            </w:r>
            <w:r>
              <w:rPr/>
              <w:fldChar w:fldCharType="separate"/>
            </w:r>
            <w:r>
              <w:rPr/>
              <w:t>19.7x</w:t>
            </w:r>
            <w:r/>
            <w:r>
              <w:rPr/>
              <w:fldChar w:fldCharType="end"/>
            </w:r>
            <w:r>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PE"/>
                  <w:enabled/>
                  <w:calcOnExit w:val="0"/>
                  <w:textInput/>
                </w:ffData>
              </w:fldChar>
            </w:r>
            <w:r>
              <w:rPr/>
              <w:instrText xml:space="preserve"> FORMTEXT </w:instrText>
            </w:r>
            <w:r>
              <w:rPr/>
            </w:r>
            <w:r>
              <w:rPr/>
              <w:fldChar w:fldCharType="separate"/>
            </w:r>
            <w:r>
              <w:rPr/>
              <w:t>16.3x</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BVPS"/>
                  <w:enabled/>
                  <w:calcOnExit w:val="0"/>
                  <w:textInput/>
                </w:ffData>
              </w:fldChar>
            </w:r>
            <w:r>
              <w:rPr/>
              <w:instrText xml:space="preserve"> FORMTEXT </w:instrText>
            </w:r>
            <w:r>
              <w:rPr/>
            </w:r>
            <w:r>
              <w:rPr/>
              <w:fldChar w:fldCharType="separate"/>
            </w:r>
            <w:r>
              <w:rPr/>
              <w:t>$7.33</w:t>
            </w:r>
            <w:r/>
            <w:r>
              <w:rPr/>
              <w:fldChar w:fldCharType="end"/>
            </w:r>
            <w:r>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jc w:val="end"/>
              <w:rPr/>
            </w:pPr>
            <w:r>
              <w:fldChar w:fldCharType="begin">
                <w:ffData>
                  <w:name w:val="TRC_Y2PRICETOBOOK"/>
                  <w:enabled/>
                  <w:calcOnExit w:val="0"/>
                  <w:textInput/>
                </w:ffData>
              </w:fldChar>
            </w:r>
            <w:r>
              <w:rPr/>
              <w:instrText xml:space="preserve"> FORMTEXT </w:instrText>
            </w:r>
            <w:r>
              <w:rPr/>
            </w:r>
            <w:r>
              <w:rPr/>
              <w:fldChar w:fldCharType="separate"/>
            </w:r>
            <w:r>
              <w:rPr/>
              <w:t>4.4x</w:t>
            </w:r>
            <w:r/>
            <w:r>
              <w:rPr/>
              <w:fldChar w:fldCharType="end"/>
            </w:r>
            <w:r>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instrText xml:space="preserve"> FORMTEXT </w:instrText>
            </w:r>
            <w:r>
              <w:rPr/>
            </w:r>
            <w:r>
              <w:rPr/>
              <w:fldChar w:fldCharType="separate"/>
            </w:r>
            <w:r>
              <w:rPr/>
              <w:t>NA</w:t>
            </w:r>
            <w:r>
              <w:rPr/>
            </w:r>
            <w:r>
              <w:rPr/>
              <w:fldChar w:fldCharType="end"/>
            </w:r>
            <w:r>
              <w:rPr/>
              <w:t>/</w:t>
            </w:r>
            <w:r>
              <w:fldChar w:fldCharType="begin">
                <w:ffData>
                  <w:name w:val="TRC_Y2DIVYIELD"/>
                  <w:enabled/>
                  <w:calcOnExit w:val="0"/>
                  <w:textInput/>
                </w:ffData>
              </w:fldChar>
            </w:r>
            <w:r>
              <w:rPr/>
              <w:instrText xml:space="preserve"> FORMTEXT </w:instrText>
            </w:r>
            <w:r>
              <w:rPr/>
            </w:r>
            <w:r>
              <w:rPr/>
              <w:fldChar w:fldCharType="separate"/>
            </w:r>
            <w:r>
              <w:rPr/>
              <w:t>NA</w:t>
            </w:r>
            <w:r/>
            <w:r>
              <w:rPr/>
              <w:fldChar w:fldCharType="end"/>
            </w:r>
            <w:r>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instrText xml:space="preserve"> FORMTEXT </w:instrText>
            </w:r>
            <w:r>
              <w:rPr/>
            </w:r>
            <w:r>
              <w:rPr/>
              <w:fldChar w:fldCharType="separate"/>
            </w:r>
            <w:r>
              <w:rPr/>
              <w:t>$42,222.0</w:t>
            </w:r>
            <w:r>
              <w:rPr/>
            </w:r>
            <w:r>
              <w:rPr/>
              <w:fldChar w:fldCharType="end"/>
            </w:r>
            <w:r>
              <w:rPr/>
              <w:t xml:space="preserve"> </w:t>
            </w:r>
            <w:r>
              <w:fldChar w:fldCharType="begin">
                <w:ffData>
                  <w:name w:val="trc_y2REVENUE_U"/>
                  <w:enabled/>
                  <w:calcOnExit w:val="0"/>
                  <w:textInput/>
                </w:ffData>
              </w:fldChar>
            </w:r>
            <w:r>
              <w:rPr/>
              <w:instrText xml:space="preserve"> FORMTEXT </w:instrText>
            </w:r>
            <w:r>
              <w:rPr/>
            </w:r>
            <w:r>
              <w:rPr/>
              <w:fldChar w:fldCharType="separate"/>
            </w:r>
            <w:r>
              <w:rPr/>
              <w:t>mil.</w:t>
            </w:r>
            <w:r/>
            <w:r>
              <w:rPr/>
              <w:fldChar w:fldCharType="end"/>
            </w:r>
            <w:r>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jc w:val="end"/>
              <w:rPr/>
            </w:pPr>
            <w:r>
              <w:fldChar w:fldCharType="begin">
                <w:ffData>
                  <w:name w:val="TRC_EPSGR"/>
                  <w:enabled/>
                  <w:calcOnExit w:val="0"/>
                  <w:textInput/>
                </w:ffData>
              </w:fldChar>
            </w:r>
            <w:r>
              <w:rPr/>
              <w:instrText xml:space="preserve"> FORMTEXT </w:instrText>
            </w:r>
            <w:r>
              <w:rPr/>
            </w:r>
            <w:r>
              <w:rPr/>
              <w:fldChar w:fldCharType="separate"/>
            </w:r>
            <w:r>
              <w:rPr/>
              <w:t>22%</w:t>
            </w:r>
            <w:r/>
            <w:r>
              <w:rPr/>
              <w:fldChar w:fldCharType="end"/>
            </w:r>
            <w:r>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ROE"/>
                  <w:enabled/>
                  <w:calcOnExit w:val="0"/>
                  <w:textInput/>
                </w:ffData>
              </w:fldChar>
            </w:r>
            <w:r>
              <w:rPr/>
              <w:instrText xml:space="preserve"> FORMTEXT </w:instrText>
            </w:r>
            <w:r>
              <w:rPr/>
            </w:r>
            <w:r>
              <w:rPr/>
              <w:fldChar w:fldCharType="separate"/>
            </w:r>
            <w:r>
              <w:rPr/>
              <w:t>32.8%</w:t>
            </w:r>
            <w:r/>
            <w:r>
              <w:rPr/>
              <w:fldChar w:fldCharType="end"/>
            </w:r>
            <w:r>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jc w:val="end"/>
              <w:rPr/>
            </w:pPr>
            <w:r>
              <w:fldChar w:fldCharType="begin">
                <w:ffData>
                  <w:name w:val="TRC_Y2LTDCAP"/>
                  <w:enabled/>
                  <w:calcOnExit w:val="0"/>
                  <w:textInput/>
                </w:ffData>
              </w:fldChar>
            </w:r>
            <w:r>
              <w:rPr/>
              <w:instrText xml:space="preserve"> FORMTEXT </w:instrText>
            </w:r>
            <w:r>
              <w:rPr/>
            </w:r>
            <w:r>
              <w:rPr/>
              <w:fldChar w:fldCharType="separate"/>
            </w:r>
            <w:r>
              <w:rPr/>
              <w:t>1.8%</w:t>
            </w:r>
            <w:r/>
            <w:r>
              <w:rPr/>
              <w:fldChar w:fldCharType="end"/>
            </w:r>
            <w:r>
              <w:rPr/>
            </w:r>
          </w:p>
        </w:tc>
      </w:tr>
      <w:tr>
        <w:trPr>
          <w:trHeight w:val="460" w:hRule="atLeast"/>
        </w:trPr>
        <w:tc>
          <w:tcPr>
            <w:tcW w:w="2880" w:type="dxa"/>
            <w:gridSpan w:val="3"/>
            <w:tcBorders>
              <w:bottom w:val="single" w:sz="12" w:space="0" w:color="808080"/>
            </w:tcBorders>
          </w:tcPr>
          <w:p>
            <w:pPr>
              <w:pStyle w:val="SSBData"/>
              <w:spacing w:lineRule="exact" w:line="220" w:before="0" w:after="60"/>
              <w:rPr/>
            </w:pPr>
            <w:r>
              <w:fldChar w:fldCharType="begin">
                <w:ffData>
                  <w:name w:val="trc_indexgroup"/>
                  <w:enabled/>
                  <w:calcOnExit w:val="0"/>
                  <w:textInput/>
                </w:ffData>
              </w:fldChar>
            </w:r>
            <w:r>
              <w:rPr/>
              <w:instrText xml:space="preserve"> FORMTEXT </w:instrText>
            </w:r>
            <w:r>
              <w:rPr/>
            </w:r>
            <w:r>
              <w:rPr/>
              <w:fldChar w:fldCharType="separate"/>
            </w:r>
            <w:r>
              <w:rPr/>
              <w:t>     </w:t>
            </w:r>
            <w:r/>
            <w:r>
              <w:rPr/>
              <w:fldChar w:fldCharType="end"/>
            </w:r>
            <w:r>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instrText xml:space="preserve"> FORMTEXT </w:instrText>
            </w:r>
            <w:r>
              <w:rPr/>
            </w:r>
            <w:r>
              <w:rPr/>
              <w:fldChar w:fldCharType="separate"/>
            </w:r>
            <w:r>
              <w:rPr/>
              <w:t>5/17/01</w:t>
            </w:r>
            <w:r>
              <w:rPr/>
            </w:r>
            <w:r>
              <w:rPr/>
              <w:fldChar w:fldCharType="end"/>
            </w:r>
            <w:r>
              <w:rPr/>
              <w:t>)</w:t>
              <w:tab/>
            </w:r>
          </w:p>
        </w:tc>
        <w:tc>
          <w:tcPr>
            <w:tcW w:w="917" w:type="dxa"/>
            <w:gridSpan w:val="2"/>
            <w:tcBorders/>
          </w:tcPr>
          <w:p>
            <w:pPr>
              <w:pStyle w:val="SSBDataRight"/>
              <w:spacing w:before="0" w:after="60"/>
              <w:jc w:val="end"/>
              <w:rPr/>
            </w:pPr>
            <w:r>
              <w:fldChar w:fldCharType="begin">
                <w:ffData>
                  <w:name w:val="TRC_CURRENTPRICE"/>
                  <w:enabled/>
                  <w:calcOnExit w:val="0"/>
                  <w:textInput/>
                </w:ffData>
              </w:fldChar>
            </w:r>
            <w:r>
              <w:rPr/>
              <w:instrText xml:space="preserve"> FORMTEXT </w:instrText>
            </w:r>
            <w:r>
              <w:rPr/>
            </w:r>
            <w:r>
              <w:rPr/>
              <w:fldChar w:fldCharType="separate"/>
            </w:r>
            <w:r>
              <w:rPr/>
              <w:t>$32.55</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rPr>
              <w:instrText xml:space="preserve"> FORMTEXT </w:instrText>
            </w:r>
            <w:r>
              <w:rPr>
                <w:b/>
              </w:rPr>
            </w:r>
            <w:r>
              <w:rPr>
                <w:b/>
              </w:rPr>
              <w:fldChar w:fldCharType="separate"/>
            </w:r>
            <w:r>
              <w:rPr>
                <w:b/>
              </w:rPr>
              <w:t>1</w:t>
            </w:r>
            <w:r>
              <w:rPr>
                <w:b/>
              </w:rPr>
            </w:r>
            <w:r>
              <w:rPr>
                <w:b/>
              </w:rPr>
              <w:fldChar w:fldCharType="end"/>
            </w:r>
            <w:r>
              <w:fldChar w:fldCharType="begin">
                <w:ffData>
                  <w:name w:val="TRC_RISK_A1"/>
                  <w:enabled/>
                  <w:calcOnExit w:val="0"/>
                  <w:textInput/>
                </w:ffData>
              </w:fldChar>
            </w:r>
            <w:r>
              <w:rPr>
                <w:b/>
              </w:rPr>
              <w:instrText xml:space="preserve"> FORMTEXT </w:instrText>
            </w:r>
            <w:r>
              <w:rPr>
                <w:b/>
              </w:rPr>
            </w:r>
            <w:r>
              <w:rPr>
                <w:b/>
              </w:rPr>
              <w:fldChar w:fldCharType="separate"/>
            </w:r>
            <w:r>
              <w:rPr>
                <w:b/>
              </w:rPr>
              <w:t>H</w:t>
            </w:r>
            <w:r/>
            <w:r>
              <w:rPr>
                <w:b/>
              </w:rPr>
              <w:fldChar w:fldCharType="end"/>
            </w:r>
            <w:r>
              <w:rPr>
                <w:b/>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instrText xml:space="preserve"> FORMTEXT </w:instrText>
            </w:r>
            <w:r>
              <w:rPr/>
            </w:r>
            <w:r>
              <w:rPr/>
              <w:fldChar w:fldCharType="separate"/>
            </w:r>
            <w:r>
              <w:rPr/>
              <w:t>$31.30</w:t>
            </w:r>
            <w:r>
              <w:rPr/>
            </w:r>
            <w:r>
              <w:rPr/>
              <w:fldChar w:fldCharType="end"/>
            </w:r>
            <w:r>
              <w:rPr/>
              <w:t>-</w:t>
            </w:r>
            <w:r>
              <w:fldChar w:fldCharType="begin">
                <w:ffData>
                  <w:name w:val="TRC_WKRNG52LOW"/>
                  <w:enabled/>
                  <w:calcOnExit w:val="0"/>
                  <w:textInput/>
                </w:ffData>
              </w:fldChar>
            </w:r>
            <w:r>
              <w:rPr/>
              <w:instrText xml:space="preserve"> FORMTEXT </w:instrText>
            </w:r>
            <w:r>
              <w:rPr/>
            </w:r>
            <w:r>
              <w:rPr/>
              <w:fldChar w:fldCharType="separate"/>
            </w:r>
            <w:r>
              <w:rPr/>
              <w:t>$27.85</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instrText xml:space="preserve"> FORMTEXT </w:instrText>
            </w:r>
            <w:r>
              <w:rPr/>
            </w:r>
            <w:r>
              <w:rPr/>
              <w:fldChar w:fldCharType="separate"/>
            </w:r>
            <w:r>
              <w:rPr/>
              <w:t>N</w:t>
            </w:r>
            <w:r>
              <w:rPr/>
            </w:r>
            <w:r>
              <w:rPr/>
              <w:fldChar w:fldCharType="end"/>
            </w:r>
            <w:r>
              <w:fldChar w:fldCharType="begin">
                <w:ffData>
                  <w:name w:val="TRC_RISK_P"/>
                  <w:enabled/>
                  <w:calcOnExit w:val="0"/>
                  <w:textInput/>
                </w:ffData>
              </w:fldChar>
            </w:r>
            <w:r>
              <w:rPr/>
              <w:instrText xml:space="preserve"> FORMTEXT </w:instrText>
            </w:r>
            <w:r>
              <w:rPr/>
            </w:r>
            <w:r>
              <w:rPr/>
              <w:fldChar w:fldCharType="separate"/>
            </w:r>
            <w:r>
              <w:rPr/>
              <w:t>A</w:t>
            </w:r>
            <w:r/>
            <w:r>
              <w:rPr/>
              <w:fldChar w:fldCharType="end"/>
            </w:r>
            <w:r>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instrText xml:space="preserve"> FORMTEXT </w:instrText>
            </w:r>
            <w:r>
              <w:rPr/>
            </w:r>
            <w:r>
              <w:rPr/>
              <w:fldChar w:fldCharType="separate"/>
            </w:r>
            <w:r>
              <w:rPr/>
              <w:t>97.5</w:t>
            </w:r>
            <w:r>
              <w:rPr/>
            </w:r>
            <w:r>
              <w:rPr/>
              <w:fldChar w:fldCharType="end"/>
            </w:r>
            <w:r>
              <w:rPr/>
              <w:t xml:space="preserve"> </w:t>
            </w:r>
            <w:r>
              <w:fldChar w:fldCharType="begin">
                <w:ffData>
                  <w:name w:val="TRC_SHARESOUT_U"/>
                  <w:enabled/>
                  <w:calcOnExit w:val="0"/>
                  <w:textInput/>
                </w:ffData>
              </w:fldChar>
            </w:r>
            <w:r>
              <w:rPr/>
              <w:instrText xml:space="preserve"> FORMTEXT </w:instrText>
            </w:r>
            <w:r>
              <w:rPr/>
            </w:r>
            <w:r>
              <w:rPr/>
              <w:fldChar w:fldCharType="separate"/>
            </w:r>
            <w:r>
              <w:rPr/>
              <w:t>mil.</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rPr>
              <w:instrText xml:space="preserve"> FORMTEXT </w:instrText>
            </w:r>
            <w:r>
              <w:rPr>
                <w:b/>
              </w:rPr>
            </w:r>
            <w:r>
              <w:rPr>
                <w:b/>
              </w:rPr>
              <w:fldChar w:fldCharType="separate"/>
            </w:r>
            <w:r>
              <w:rPr>
                <w:b/>
              </w:rPr>
              <w:t>$44.00</w:t>
            </w:r>
            <w:r/>
            <w:r>
              <w:rPr>
                <w:b/>
              </w:rPr>
              <w:fldChar w:fldCharType="end"/>
            </w:r>
            <w:r>
              <w:rPr>
                <w:b/>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jc w:val="end"/>
              <w:rPr/>
            </w:pPr>
            <w:r>
              <w:fldChar w:fldCharType="begin">
                <w:ffData>
                  <w:name w:val="TRC_CONVERTIBLE"/>
                  <w:enabled/>
                  <w:calcOnExit w:val="0"/>
                  <w:textInput/>
                </w:ffData>
              </w:fldChar>
            </w:r>
            <w:r>
              <w:rPr/>
              <w:instrText xml:space="preserve"> FORMTEXT </w:instrText>
            </w:r>
            <w:r>
              <w:rPr/>
            </w:r>
            <w:r>
              <w:rPr/>
              <w:fldChar w:fldCharType="separate"/>
            </w:r>
            <w:r>
              <w:rPr/>
              <w:t>No</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jc w:val="end"/>
              <w:rPr/>
            </w:pPr>
            <w:r>
              <w:fldChar w:fldCharType="begin">
                <w:ffData>
                  <w:name w:val="TRC_TARGET_P"/>
                  <w:enabled/>
                  <w:calcOnExit w:val="0"/>
                  <w:textInput/>
                </w:ffData>
              </w:fldChar>
            </w:r>
            <w:r>
              <w:rPr/>
              <w:instrText xml:space="preserve"> FORMTEXT </w:instrText>
            </w:r>
            <w:r>
              <w:rPr/>
            </w:r>
            <w:r>
              <w:rPr/>
              <w:fldChar w:fldCharType="separate"/>
            </w:r>
            <w:r>
              <w:rPr/>
              <w:t>NA</w:t>
            </w:r>
            <w:r/>
            <w:r>
              <w:rPr/>
              <w:fldChar w:fldCharType="end"/>
            </w:r>
            <w:r>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rPr>
              <w:instrText xml:space="preserve"> FORMTEXT </w:instrText>
            </w:r>
            <w:r>
              <w:rPr>
                <w:b/>
              </w:rPr>
            </w:r>
            <w:r>
              <w:rPr>
                <w:b/>
              </w:rPr>
              <w:fldChar w:fldCharType="separate"/>
            </w:r>
            <w:r>
              <w:rPr>
                <w:b/>
              </w:rPr>
              <w:t>12/00A</w:t>
            </w:r>
            <w:r/>
            <w:r>
              <w:rPr>
                <w:b/>
              </w:rPr>
              <w:fldChar w:fldCharType="end"/>
            </w:r>
            <w:r>
              <w:rPr>
                <w:b/>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rPr>
              <w:instrText xml:space="preserve"> FORMTEXT </w:instrText>
            </w:r>
            <w:r>
              <w:rPr>
                <w:b/>
              </w:rPr>
            </w:r>
            <w:r>
              <w:rPr>
                <w:b/>
              </w:rPr>
              <w:fldChar w:fldCharType="separate"/>
            </w:r>
            <w:r>
              <w:rPr>
                <w:b/>
              </w:rPr>
              <w:t>$0.13</w:t>
            </w:r>
            <w:r>
              <w:rPr>
                <w:b/>
              </w:rPr>
            </w:r>
            <w:r>
              <w:rPr>
                <w:b/>
              </w:rPr>
              <w:fldChar w:fldCharType="end"/>
            </w:r>
            <w:r>
              <w:fldChar w:fldCharType="begin">
                <w:ffData>
                  <w:name w:val="TRC_Y1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rPr>
              <w:instrText xml:space="preserve"> FORMTEXT </w:instrText>
            </w:r>
            <w:r>
              <w:rPr>
                <w:b/>
              </w:rPr>
            </w:r>
            <w:r>
              <w:rPr>
                <w:b/>
              </w:rPr>
              <w:fldChar w:fldCharType="separate"/>
            </w:r>
            <w:r>
              <w:rPr>
                <w:b/>
              </w:rPr>
              <w:t>$0.27</w:t>
            </w:r>
            <w:r>
              <w:rPr>
                <w:b/>
              </w:rPr>
            </w:r>
            <w:r>
              <w:rPr>
                <w:b/>
              </w:rPr>
              <w:fldChar w:fldCharType="end"/>
            </w:r>
            <w:r>
              <w:fldChar w:fldCharType="begin">
                <w:ffData>
                  <w:name w:val="TRC_Y1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rPr>
              <w:instrText xml:space="preserve"> FORMTEXT </w:instrText>
            </w:r>
            <w:r>
              <w:rPr>
                <w:b/>
              </w:rPr>
            </w:r>
            <w:r>
              <w:rPr>
                <w:b/>
              </w:rPr>
              <w:fldChar w:fldCharType="separate"/>
            </w:r>
            <w:r>
              <w:rPr>
                <w:b/>
              </w:rPr>
              <w:t>$0.25</w:t>
            </w:r>
            <w:r>
              <w:rPr>
                <w:b/>
              </w:rPr>
            </w:r>
            <w:r>
              <w:rPr>
                <w:b/>
              </w:rPr>
              <w:fldChar w:fldCharType="end"/>
            </w:r>
            <w:r>
              <w:fldChar w:fldCharType="begin">
                <w:ffData>
                  <w:name w:val="TRC_Y1Q3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rPr>
              <w:instrText xml:space="preserve"> FORMTEXT </w:instrText>
            </w:r>
            <w:r>
              <w:rPr>
                <w:b/>
              </w:rPr>
            </w:r>
            <w:r>
              <w:rPr>
                <w:b/>
              </w:rPr>
              <w:fldChar w:fldCharType="separate"/>
            </w:r>
            <w:r>
              <w:rPr>
                <w:b/>
              </w:rPr>
              <w:t>$0.50</w:t>
            </w:r>
            <w:r>
              <w:rPr>
                <w:b/>
              </w:rPr>
            </w:r>
            <w:r>
              <w:rPr>
                <w:b/>
              </w:rPr>
              <w:fldChar w:fldCharType="end"/>
            </w:r>
            <w:r>
              <w:fldChar w:fldCharType="begin">
                <w:ffData>
                  <w:name w:val="TRC_Y1Q4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rPr>
              <w:instrText xml:space="preserve"> FORMTEXT </w:instrText>
            </w:r>
            <w:r>
              <w:rPr>
                <w:b/>
              </w:rPr>
            </w:r>
            <w:r>
              <w:rPr>
                <w:b/>
              </w:rPr>
              <w:fldChar w:fldCharType="separate"/>
            </w:r>
            <w:r>
              <w:rPr>
                <w:b/>
              </w:rPr>
              <w:t>$1.14</w:t>
            </w:r>
            <w:r>
              <w:rPr>
                <w:b/>
              </w:rPr>
            </w:r>
            <w:r>
              <w:rPr>
                <w:b/>
              </w:rPr>
              <w:fldChar w:fldCharType="end"/>
            </w:r>
            <w:r>
              <w:fldChar w:fldCharType="begin">
                <w:ffData>
                  <w:name w:val="TRC_Y1TOTAL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rPr>
              <w:instrText xml:space="preserve"> FORMTEXT </w:instrText>
            </w:r>
            <w:r>
              <w:rPr>
                <w:b/>
              </w:rPr>
            </w:r>
            <w:r>
              <w:rPr>
                <w:b/>
              </w:rPr>
              <w:fldChar w:fldCharType="separate"/>
            </w:r>
            <w:r>
              <w:rPr>
                <w:b/>
              </w:rPr>
              <w:t>12/01E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rPr>
              <w:instrText xml:space="preserve"> FORMTEXT </w:instrText>
            </w:r>
            <w:r>
              <w:rPr>
                <w:b/>
              </w:rPr>
            </w:r>
            <w:r>
              <w:rPr>
                <w:b/>
              </w:rPr>
              <w:fldChar w:fldCharType="separate"/>
            </w:r>
            <w:r>
              <w:rPr>
                <w:b/>
              </w:rPr>
              <w:t>$0.57</w:t>
            </w:r>
            <w:r>
              <w:rPr>
                <w:b/>
              </w:rPr>
            </w:r>
            <w:r>
              <w:rPr>
                <w:b/>
              </w:rPr>
              <w:fldChar w:fldCharType="end"/>
            </w:r>
            <w:r>
              <w:fldChar w:fldCharType="begin">
                <w:ffData>
                  <w:name w:val="TRC_Y2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2"/>
                  <w:enabled/>
                  <w:calcOnExit w:val="0"/>
                  <w:textInput/>
                </w:ffData>
              </w:fldChar>
            </w:r>
            <w:r>
              <w:rPr>
                <w:b/>
              </w:rPr>
              <w:instrText xml:space="preserve"> FORMTEXT </w:instrText>
            </w:r>
            <w:r>
              <w:rPr>
                <w:b/>
              </w:rPr>
            </w:r>
            <w:r>
              <w:rPr>
                <w:b/>
              </w:rPr>
              <w:fldChar w:fldCharType="separate"/>
            </w:r>
            <w:r>
              <w:rPr>
                <w:b/>
              </w:rPr>
              <w:t>$0.39</w:t>
            </w:r>
            <w:r>
              <w:rPr>
                <w:b/>
              </w:rPr>
            </w:r>
            <w:r>
              <w:rPr>
                <w:b/>
              </w:rPr>
              <w:fldChar w:fldCharType="end"/>
            </w:r>
            <w:r>
              <w:fldChar w:fldCharType="begin">
                <w:ffData>
                  <w:name w:val="TRC_Y2Q2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c>
          <w:tcPr>
            <w:tcW w:w="1008" w:type="dxa"/>
            <w:tcBorders/>
          </w:tcPr>
          <w:p>
            <w:pPr>
              <w:pStyle w:val="SSBDataQDecimal"/>
              <w:rPr>
                <w:b/>
              </w:rPr>
            </w:pPr>
            <w:r>
              <w:fldChar w:fldCharType="begin">
                <w:ffData>
                  <w:name w:val="TRC_Y2Q3"/>
                  <w:enabled/>
                  <w:calcOnExit w:val="0"/>
                  <w:textInput/>
                </w:ffData>
              </w:fldChar>
            </w:r>
            <w:r>
              <w:rPr>
                <w:b/>
              </w:rPr>
              <w:instrText xml:space="preserve"> FORMTEXT </w:instrText>
            </w:r>
            <w:r>
              <w:rPr>
                <w:b/>
              </w:rPr>
            </w:r>
            <w:r>
              <w:rPr>
                <w:b/>
              </w:rPr>
              <w:fldChar w:fldCharType="separate"/>
            </w:r>
            <w:r>
              <w:rPr>
                <w:b/>
              </w:rPr>
              <w:t>$0.33</w:t>
            </w:r>
            <w:r>
              <w:rPr>
                <w:b/>
              </w:rPr>
            </w:r>
            <w:r>
              <w:rPr>
                <w:b/>
              </w:rPr>
              <w:fldChar w:fldCharType="end"/>
            </w:r>
            <w:r>
              <w:fldChar w:fldCharType="begin">
                <w:ffData>
                  <w:name w:val="TRC_Y2Q3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c>
          <w:tcPr>
            <w:tcW w:w="1008" w:type="dxa"/>
            <w:tcBorders/>
          </w:tcPr>
          <w:p>
            <w:pPr>
              <w:pStyle w:val="SSBDataQDecimal"/>
              <w:rPr>
                <w:b/>
              </w:rPr>
            </w:pPr>
            <w:r>
              <w:fldChar w:fldCharType="begin">
                <w:ffData>
                  <w:name w:val="TRC_Y2Q4"/>
                  <w:enabled/>
                  <w:calcOnExit w:val="0"/>
                  <w:textInput/>
                </w:ffData>
              </w:fldChar>
            </w:r>
            <w:r>
              <w:rPr>
                <w:b/>
              </w:rPr>
              <w:instrText xml:space="preserve"> FORMTEXT </w:instrText>
            </w:r>
            <w:r>
              <w:rPr>
                <w:b/>
              </w:rPr>
            </w:r>
            <w:r>
              <w:rPr>
                <w:b/>
              </w:rPr>
              <w:fldChar w:fldCharType="separate"/>
            </w:r>
            <w:r>
              <w:rPr>
                <w:b/>
              </w:rPr>
              <w:t>$0.39</w:t>
            </w:r>
            <w:r>
              <w:rPr>
                <w:b/>
              </w:rPr>
            </w:r>
            <w:r>
              <w:rPr>
                <w:b/>
              </w:rPr>
              <w:fldChar w:fldCharType="end"/>
            </w:r>
            <w:r>
              <w:fldChar w:fldCharType="begin">
                <w:ffData>
                  <w:name w:val="TRC_Y2Q4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c>
          <w:tcPr>
            <w:tcW w:w="1008" w:type="dxa"/>
            <w:tcBorders/>
          </w:tcPr>
          <w:p>
            <w:pPr>
              <w:pStyle w:val="SSBDataQDecimal"/>
              <w:rPr>
                <w:b/>
              </w:rPr>
            </w:pPr>
            <w:r>
              <w:fldChar w:fldCharType="begin">
                <w:ffData>
                  <w:name w:val="TRC_Y2TOTAL"/>
                  <w:enabled/>
                  <w:calcOnExit w:val="0"/>
                  <w:textInput/>
                </w:ffData>
              </w:fldChar>
            </w:r>
            <w:r>
              <w:rPr>
                <w:b/>
              </w:rPr>
              <w:instrText xml:space="preserve"> FORMTEXT </w:instrText>
            </w:r>
            <w:r>
              <w:rPr>
                <w:b/>
              </w:rPr>
            </w:r>
            <w:r>
              <w:rPr>
                <w:b/>
              </w:rPr>
              <w:fldChar w:fldCharType="separate"/>
            </w:r>
            <w:r>
              <w:rPr>
                <w:b/>
              </w:rPr>
              <w:t>$1.65</w:t>
            </w:r>
            <w:r>
              <w:rPr>
                <w:b/>
              </w:rPr>
            </w:r>
            <w:r>
              <w:rPr>
                <w:b/>
              </w:rPr>
              <w:fldChar w:fldCharType="end"/>
            </w:r>
            <w:r>
              <w:fldChar w:fldCharType="begin">
                <w:ffData>
                  <w:name w:val="TRC_Y2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TOTALAE_P"/>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rPr>
              <w:instrText xml:space="preserve"> FORMTEXT </w:instrText>
            </w:r>
            <w:r>
              <w:rPr>
                <w:b/>
              </w:rPr>
            </w:r>
            <w:r>
              <w:rPr>
                <w:b/>
              </w:rPr>
              <w:fldChar w:fldCharType="separate"/>
            </w:r>
            <w:r>
              <w:rPr>
                <w:b/>
              </w:rPr>
              <w:t>12/02E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TOTAL"/>
                  <w:enabled/>
                  <w:calcOnExit w:val="0"/>
                  <w:textInput/>
                </w:ffData>
              </w:fldChar>
            </w:r>
            <w:r>
              <w:rPr>
                <w:b/>
              </w:rPr>
              <w:instrText xml:space="preserve"> FORMTEXT </w:instrText>
            </w:r>
            <w:r>
              <w:rPr>
                <w:b/>
              </w:rPr>
            </w:r>
            <w:r>
              <w:rPr>
                <w:b/>
              </w:rPr>
              <w:fldChar w:fldCharType="separate"/>
            </w:r>
            <w:r>
              <w:rPr>
                <w:b/>
              </w:rPr>
              <w:t>$2.00</w:t>
            </w:r>
            <w:r>
              <w:rPr>
                <w:b/>
              </w:rPr>
            </w:r>
            <w:r>
              <w:rPr>
                <w:b/>
              </w:rPr>
              <w:fldChar w:fldCharType="end"/>
            </w:r>
            <w:r>
              <w:fldChar w:fldCharType="begin">
                <w:ffData>
                  <w:name w:val="TRC_Y3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TOTALAE_P"/>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rPr>
              <w:instrText xml:space="preserve"> FORMTEXT </w:instrText>
            </w:r>
            <w:r>
              <w:rPr>
                <w:b/>
              </w:rPr>
            </w:r>
            <w:r>
              <w:rPr>
                <w:b/>
              </w:rPr>
              <w:fldChar w:fldCharType="separate"/>
            </w:r>
            <w:r>
              <w:rPr>
                <w:b/>
              </w:rPr>
              <w:t>12/03E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TOTAL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TOTALAE_P"/>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instrText xml:space="preserve"> FORMTEXT </w:instrText>
            </w:r>
            <w:bookmarkStart w:id="2" w:name="trc_FtNote1_Text_Copy_1"/>
            <w:r>
              <w:rPr/>
            </w:r>
            <w:r>
              <w:rPr/>
              <w:fldChar w:fldCharType="separate"/>
            </w:r>
            <w:r>
              <w:rPr/>
              <w:t>First Call Consensus EPS</w:t>
            </w:r>
            <w:r>
              <w:rPr/>
            </w:r>
            <w:r>
              <w:rPr/>
              <w:fldChar w:fldCharType="end"/>
            </w:r>
            <w:bookmarkEnd w:id="2"/>
            <w:r>
              <w:rPr/>
              <w:t xml:space="preserve">: </w:t>
            </w:r>
            <w:r>
              <w:fldChar w:fldCharType="begin">
                <w:ffData>
                  <w:name w:val="trc_QDYear2_a3"/>
                  <w:enabled/>
                  <w:calcOnExit w:val="0"/>
                  <w:textInput/>
                </w:ffData>
              </w:fldChar>
            </w:r>
            <w:r>
              <w:rPr/>
              <w:instrText xml:space="preserve"> FORMTEXT </w:instrText>
            </w:r>
            <w:r>
              <w:rPr/>
            </w:r>
            <w:r>
              <w:rPr/>
              <w:fldChar w:fldCharType="separate"/>
            </w:r>
            <w:r>
              <w:rPr/>
              <w:t>12/01E</w:t>
            </w:r>
            <w:r>
              <w:rPr/>
            </w:r>
            <w:r>
              <w:rPr/>
              <w:fldChar w:fldCharType="end"/>
            </w:r>
            <w:r>
              <w:rPr/>
              <w:t xml:space="preserve"> </w:t>
            </w:r>
            <w:r>
              <w:fldChar w:fldCharType="begin">
                <w:ffData>
                  <w:name w:val="trc_Y2CONSEPS"/>
                  <w:enabled/>
                  <w:calcOnExit w:val="0"/>
                  <w:textInput/>
                </w:ffData>
              </w:fldChar>
            </w:r>
            <w:r>
              <w:rPr/>
              <w:instrText xml:space="preserve"> FORMTEXT </w:instrText>
            </w:r>
            <w:r>
              <w:rPr/>
            </w:r>
            <w:r>
              <w:rPr/>
              <w:fldChar w:fldCharType="separate"/>
            </w:r>
            <w:r>
              <w:rPr/>
              <w:t>NA</w:t>
            </w:r>
            <w:r>
              <w:rPr/>
            </w:r>
            <w:r>
              <w:rPr/>
              <w:fldChar w:fldCharType="end"/>
            </w:r>
            <w:r>
              <w:rPr/>
              <w:t xml:space="preserve">; </w:t>
            </w:r>
            <w:r>
              <w:fldChar w:fldCharType="begin">
                <w:ffData>
                  <w:name w:val="trc_QDYear3_a3"/>
                  <w:enabled/>
                  <w:calcOnExit w:val="0"/>
                  <w:textInput/>
                </w:ffData>
              </w:fldChar>
            </w:r>
            <w:r>
              <w:rPr/>
              <w:instrText xml:space="preserve"> FORMTEXT </w:instrText>
            </w:r>
            <w:r>
              <w:rPr/>
            </w:r>
            <w:r>
              <w:rPr/>
              <w:fldChar w:fldCharType="separate"/>
            </w:r>
            <w:r>
              <w:rPr/>
              <w:t>12/02E</w:t>
            </w:r>
            <w:r>
              <w:rPr/>
            </w:r>
            <w:r>
              <w:rPr/>
              <w:fldChar w:fldCharType="end"/>
            </w:r>
            <w:r>
              <w:rPr/>
              <w:t xml:space="preserve"> </w:t>
            </w:r>
            <w:r>
              <w:fldChar w:fldCharType="begin">
                <w:ffData>
                  <w:name w:val="trc_Y3CONSEPS"/>
                  <w:enabled/>
                  <w:calcOnExit w:val="0"/>
                  <w:textInput/>
                </w:ffData>
              </w:fldChar>
            </w:r>
            <w:r>
              <w:rPr/>
              <w:instrText xml:space="preserve"> FORMTEXT </w:instrText>
            </w:r>
            <w:r>
              <w:rPr/>
            </w:r>
            <w:r>
              <w:rPr/>
              <w:fldChar w:fldCharType="separate"/>
            </w:r>
            <w:r>
              <w:rPr/>
              <w:t>NA</w:t>
            </w:r>
            <w:r>
              <w:rPr/>
            </w:r>
            <w:r>
              <w:rPr/>
              <w:fldChar w:fldCharType="end"/>
            </w:r>
            <w:r>
              <w:rPr/>
              <w:t xml:space="preserve">; </w:t>
            </w:r>
            <w:r>
              <w:fldChar w:fldCharType="begin">
                <w:ffData>
                  <w:name w:val="trc_QDYear4_a3"/>
                  <w:enabled/>
                  <w:calcOnExit w:val="0"/>
                  <w:textInput/>
                </w:ffData>
              </w:fldChar>
            </w:r>
            <w:r>
              <w:rPr/>
              <w:instrText xml:space="preserve"> FORMTEXT </w:instrText>
            </w:r>
            <w:r>
              <w:rPr/>
            </w:r>
            <w:r>
              <w:rPr/>
              <w:fldChar w:fldCharType="separate"/>
            </w:r>
            <w:r>
              <w:rPr/>
              <w:t>12/03E</w:t>
            </w:r>
            <w:r>
              <w:rPr/>
            </w:r>
            <w:r>
              <w:rPr/>
              <w:fldChar w:fldCharType="end"/>
            </w:r>
            <w:r>
              <w:rPr/>
              <w:t xml:space="preserve"> </w:t>
            </w:r>
            <w:r>
              <w:fldChar w:fldCharType="begin">
                <w:ffData>
                  <w:name w:val="trc_Y4CONSEPS"/>
                  <w:enabled/>
                  <w:calcOnExit w:val="0"/>
                  <w:textInput/>
                </w:ffData>
              </w:fldChar>
            </w:r>
            <w:r>
              <w:rPr/>
              <w:instrText xml:space="preserve"> FORMTEXT </w:instrText>
            </w:r>
            <w:r>
              <w:rPr/>
            </w:r>
            <w:r>
              <w:rPr/>
              <w:fldChar w:fldCharType="separate"/>
            </w:r>
            <w:r>
              <w:rPr/>
              <w:t>NA</w:t>
            </w:r>
            <w:r/>
            <w:r>
              <w:rPr/>
              <w:fldChar w:fldCharType="end"/>
            </w:r>
            <w:r>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Aquila is a leading “pure play” Energy merchant</w:t>
      </w:r>
    </w:p>
    <w:p>
      <w:pPr>
        <w:pStyle w:val="SSBBodyText"/>
        <w:rPr/>
      </w:pPr>
      <w:r>
        <w:rPr/>
        <w:t>On April 24, 2001, Aquila, Inc. became a publicly traded company as approximately 20% of the outstanding shares were spun-off by parent UtiliCorp United (UCU--1H).  Aquila has been active in the deregulating energy markets since 1987, when they first became involved in the marketing of natural gas.  Today, they are one of the largest and most respected energy trading and marketing organizations in the United States, having leveraged their core skills in the natural gas markets to the deregulating North American power markets.</w:t>
      </w:r>
    </w:p>
    <w:p>
      <w:pPr>
        <w:pStyle w:val="SSBBodyText"/>
        <w:rPr/>
      </w:pPr>
      <w:r>
        <w:rPr/>
        <w:t>We view Aquila as a member of the top tier group of Energy Merchants.  They are active in every significant energy commodity market, continue to expand geographically, and have significantly grown their overall trading volumes.  Like industry leader Enron (ENE--1H), Aquila makes a point of being active early in the development of commodity markets, as they have shown in the electricity, natural gas, weather derivative, and most recently, bandwidth markets.  We feel that this early mover advantage should allow them to sustain their position among the leading Energy Merchants.</w:t>
      </w:r>
    </w:p>
    <w:p>
      <w:pPr>
        <w:pStyle w:val="SSBBodyText"/>
        <w:rPr/>
      </w:pPr>
      <w:r>
        <w:rPr/>
        <w:t>Aquila’s business is divided into two segments-- Wholesale and Capacity Services.  Wholesale Services houses their trading and risk management operations, as well as their Capital Services group, which provides capital to exploration &amp; production companies (which typically include embedded commodity contracts).  Their new Broadband Services group provides risk management tools to clients through the rapidly developing bandwidth commodity market.  Capacity Services houses their power plant assets, their natural gas gathering, transportation, processing and storage businesses, as well as their coal terminal.</w:t>
      </w:r>
    </w:p>
    <w:p>
      <w:pPr>
        <w:pStyle w:val="Heading2"/>
        <w:ind w:hanging="0" w:start="0"/>
        <w:rPr/>
      </w:pPr>
      <w:r>
        <w:rPr/>
        <w:t>Investment Highlights</w:t>
      </w:r>
    </w:p>
    <w:p>
      <w:pPr>
        <w:pStyle w:val="Heading3"/>
        <w:ind w:hanging="0" w:start="0"/>
        <w:rPr/>
      </w:pPr>
      <w:r>
        <w:rPr/>
        <w:t>Aquila is a Leading Energy Merchant</w:t>
      </w:r>
    </w:p>
    <w:p>
      <w:pPr>
        <w:pStyle w:val="SSBBodyText"/>
        <w:rPr/>
      </w:pPr>
      <w:r>
        <w:rPr/>
        <w:t>We view Aquila as one of the leading Energy Merchants, having achieved significant traction in its marketing and trading activities.  Operating earnings grew to $194 million in 2000 from $84 million in 1999.  Although 2000 showed a significant jump, we project 20-25% long-term growth from these levels.  Aquila has been an early mover in the markets in which it is now active (including natural gas, electricity, coal, weather derivatives, and now bandwidth), allowing it to capture increasingly higher margins.  Like other leading players, Aquila demonstrated solid profitability, even during the electricity price spikes of 1998 and 1999.  Aquila has sufficient Size, Scale and Experience to effectively manage risks: in 2000, it was the 7</w:t>
      </w:r>
      <w:r>
        <w:rPr>
          <w:vertAlign w:val="superscript"/>
        </w:rPr>
        <w:t>th</w:t>
      </w:r>
      <w:r>
        <w:rPr/>
        <w:t xml:space="preserve"> largest North American power marketer and the 4</w:t>
      </w:r>
      <w:r>
        <w:rPr>
          <w:vertAlign w:val="superscript"/>
        </w:rPr>
        <w:t>th</w:t>
      </w:r>
      <w:r>
        <w:rPr/>
        <w:t xml:space="preserve"> largest natural gas marketer.  As for experience, Aquila was an early entrant in the energy commodity markets, having begun trading natural gas in 1987.</w:t>
      </w:r>
    </w:p>
    <w:p>
      <w:pPr>
        <w:pStyle w:val="Heading3"/>
        <w:ind w:hanging="0" w:start="0"/>
        <w:rPr/>
      </w:pPr>
      <w:r>
        <w:rPr/>
        <w:t>Aquila is a “pure-play” Energy Merchant, and not an energy conglomerate with widely diversified operations.</w:t>
      </w:r>
    </w:p>
    <w:p>
      <w:pPr>
        <w:pStyle w:val="SSBBodyText"/>
        <w:rPr/>
      </w:pPr>
      <w:r>
        <w:rPr/>
        <w:t>Aquila is a pure-play focused on trading and risk management, with a small portfolio of generating assets.  We see this as an advantage over the long-term, as Aquila’s business model allows them to make money in both rising and falling commodity price environments.  A comparable pure play, in terms of its business model, is Enron.  In addition, Aquila differs from their Merchant peers in that they do not have significant regulated assets (such as major pipeline assets) nor have they invested largely in peripheral energy businesses, such as Exploration &amp; Production.  This allows them to maintain a higher growth trajectory than their peers, in our view, and therefore a higher multiple in the marketplace.</w:t>
      </w:r>
    </w:p>
    <w:p>
      <w:pPr>
        <w:pStyle w:val="Heading3"/>
        <w:ind w:hanging="0" w:start="0"/>
        <w:rPr/>
      </w:pPr>
      <w:r>
        <w:rPr/>
        <w:t>We Expect Aquila to Achieve 20-25% Long-Term Growth</w:t>
      </w:r>
    </w:p>
    <w:p>
      <w:pPr>
        <w:pStyle w:val="SSBBodyText"/>
        <w:rPr/>
      </w:pPr>
      <w:r>
        <w:rPr/>
        <w:t>As a Top-5 Energy Merchant, we expect Aquila’s growth to be driven by the continued commoditization of the world’s energy and non-energy commodity markets, which now include bandwidth, a market in which Aquila has been an active early participant.  We estimate that together, these markets generate over $800 billion in revenues, of which only 15-20% has been commoditized to date.  Over the next several years, Aquila should be able to effectively capture higher margin opportunities in these developing marketplaces.</w:t>
      </w:r>
    </w:p>
    <w:p>
      <w:pPr>
        <w:pStyle w:val="Heading2"/>
        <w:ind w:hanging="0" w:start="0"/>
        <w:rPr/>
      </w:pPr>
      <w:r>
        <w:rPr/>
        <w:t>Earnings Outlook: 2001 and 2002</w:t>
      </w:r>
    </w:p>
    <w:p>
      <w:pPr>
        <w:pStyle w:val="SSBBodyText"/>
        <w:rPr/>
      </w:pPr>
      <w:r>
        <w:rPr/>
        <w:t>We expect Aquila’s earnings to continue to be driven by their successful Wholesale operations, which include their trading activities as well as the marketing of long-term structured risk management products.  We expect 20-25% annual growth in the Wholesale segment, with significant upside potential driven by their expansion into new commodities and geographies.  We also expect to see considerable growth in their Capacity Services segment, driven by an increase in their overall portfolio of assets (Aquila expects to add 1,000 megawatts in 2001 and 1,300 in 2002) and their ability to lock up long-term power contracts for their plants during what we feel is now a strong pricing environment.</w:t>
      </w:r>
    </w:p>
    <w:p>
      <w:pPr>
        <w:pStyle w:val="SSBBodyText"/>
        <w:rPr/>
      </w:pPr>
      <w:r>
        <w:rPr/>
        <w:t>Aquila has been one of the leading innovators in the energy risk management field, offering such services as GuaranteedWeather and GuaranteedGeneration products, which effectively serve as insurance products to hedge against negative weather impacts and unplanned generation outages, respectively.  It is important to note that these types of structured products decrease Aquila’s sensitivity to commodity prices, as they represent potential earnings growth which is not dependent on directional shifts in energy prices.</w:t>
      </w:r>
    </w:p>
    <w:p>
      <w:pPr>
        <w:pStyle w:val="SSBBodyText"/>
        <w:rPr/>
      </w:pPr>
      <w:r>
        <w:rPr/>
        <w:t xml:space="preserve">We do not expect unit margins (earnings per unit of energy traded) to continue to increase at the levels seen over the past several years.  Rather, we see a leveling off of margins in 2003, with earnings increases attributable to growth in trading volumes and expansion into new commodities and geographies.  </w:t>
      </w:r>
    </w:p>
    <w:p>
      <w:pPr>
        <w:pStyle w:val="Heading3"/>
        <w:ind w:hanging="0" w:start="0"/>
        <w:rPr/>
      </w:pPr>
      <w:r>
        <w:rPr/>
        <w:t>1Q:01 Results</w:t>
      </w:r>
    </w:p>
    <w:p>
      <w:pPr>
        <w:pStyle w:val="SSBBodyText"/>
        <w:rPr/>
      </w:pPr>
      <w:r>
        <w:rPr/>
        <w:t>Aquila posted strong earnings in 1Q:01, driven by strong volatility and power pricing environments for power and natural gas across the country.  Net income was $49.3 million, an increase of over 350% from $10.8 million during the year-ago quarter.  Earnings were driven by a strong increase in trading and marketing margins, with overall trading volumes up only 15% year/year, versus 30-40% for their peers.  In addition, earnings benefited from the addition of the GPU International assets, which were acquired during the first quarter.</w:t>
      </w:r>
    </w:p>
    <w:p>
      <w:pPr>
        <w:pStyle w:val="Heading3"/>
        <w:ind w:hanging="0" w:start="0"/>
        <w:rPr/>
      </w:pPr>
      <w:r>
        <w:rPr/>
        <w:t>2001 Expectations</w:t>
      </w:r>
    </w:p>
    <w:p>
      <w:pPr>
        <w:pStyle w:val="SSBBodyText"/>
        <w:rPr/>
      </w:pPr>
      <w:r>
        <w:rPr/>
        <w:t>We project full-year 2001 EPS of $1.65, with potential upside to $1.75 to $1.80.  The key drivers are: (1) approximately 30% growth in the Wholesale Services segment, which should benefit from sustained volatility in the energy markets, and (2) approximately 60% growth in the Capacity Services segment, which should continue to benefit from generation additions (1,000 additional megawatts are expected to come on line this summer) and continued tight power pricing environments.</w:t>
      </w:r>
    </w:p>
    <w:p>
      <w:pPr>
        <w:pStyle w:val="Heading3"/>
        <w:ind w:hanging="0" w:start="0"/>
        <w:rPr/>
      </w:pPr>
      <w:r>
        <w:rPr/>
        <w:t>2002 Expectations</w:t>
      </w:r>
    </w:p>
    <w:p>
      <w:pPr>
        <w:pStyle w:val="SSBBodyText"/>
        <w:rPr/>
      </w:pPr>
      <w:r>
        <w:rPr/>
        <w:t>Our 2002 EPS estimate is $2.00, a 21% increase over 2001.  We expect this growth to be driven by continued strong performance from their marketing and trading group as well as their North American power assets.  Earnings will also continue to benefit from growth in their innovative structured products, which we expect to contribute in all commodity pricing environments.  In addition, we expect to see the first signs of profitability contribution from their European operations..</w:t>
      </w:r>
    </w:p>
    <w:p>
      <w:pPr>
        <w:pStyle w:val="Heading2"/>
        <w:ind w:hanging="0" w:start="0"/>
        <w:rPr/>
      </w:pPr>
      <w:r>
        <w:rPr/>
        <w:t>Catalysts for Outperformance</w:t>
      </w:r>
    </w:p>
    <w:p>
      <w:pPr>
        <w:pStyle w:val="SSBBodyText"/>
        <w:rPr/>
      </w:pPr>
      <w:r>
        <w:rPr/>
        <w:t>We see several catalysts for outperformance over the near-to-intermediate term.</w:t>
      </w:r>
    </w:p>
    <w:p>
      <w:pPr>
        <w:pStyle w:val="Heading3"/>
        <w:ind w:hanging="0" w:start="0"/>
        <w:rPr/>
      </w:pPr>
      <w:r>
        <w:rPr/>
        <w:t>Growth of Controlled Power Asset Base</w:t>
      </w:r>
    </w:p>
    <w:p>
      <w:pPr>
        <w:pStyle w:val="SSBBodyText"/>
        <w:rPr/>
      </w:pPr>
      <w:r>
        <w:rPr/>
        <w:t>Although we do not feel that it is crucial, we expect that Aquila will look to expand its generation portfolio, whether through contractual control of power plants (tolling, etc.) or ownership.  We expect that this will provide a catalyst for increased trading and marketing activity, as well as an additional source of earnings growth in a capacity-constrained market.  Aquila has already made several announcements of transactions which will increase their portfolio of controlled generation by approximately 1,000 MW in 2001 and 1,300 MW in 2002, with a grand total of 4,100 megawatts currently in operation, under construction, or in development.</w:t>
      </w:r>
    </w:p>
    <w:p>
      <w:pPr>
        <w:pStyle w:val="Heading3"/>
        <w:ind w:hanging="0" w:start="0"/>
        <w:rPr/>
      </w:pPr>
      <w:r>
        <w:rPr/>
        <w:t>Increased Traction in New Products and Geographies</w:t>
      </w:r>
    </w:p>
    <w:p>
      <w:pPr>
        <w:pStyle w:val="SSBBodyText"/>
        <w:rPr/>
      </w:pPr>
      <w:r>
        <w:rPr/>
        <w:t>Aquila has been an early mover into both new geographies, such as Europe, and new products, such as bandwidth.  Aquila has already opened several energy trading offices across Europe (they currently have offices in the United Kingdom, Spain, Norway, and Germany), and we expect that they will continue to grow their presence as additional countries deregulate their energy markets.  European energy markets are similar in size to the United States, but are in an earlier stage of development, presenting significant growth opportunities for early market entrants.</w:t>
      </w:r>
    </w:p>
    <w:p>
      <w:pPr>
        <w:pStyle w:val="SSBBodyText"/>
        <w:rPr/>
      </w:pPr>
      <w:r>
        <w:rPr/>
        <w:t>In addition, Aquila has been one of the early movers into the bandwidth commodity market, which we believe could grow to be larger that the combined power and natural gas markets by 2005.  Their transaction volumes increased from just 16 in 4Q:00 to 120 during 1Q:01, with 117 transactions already having been completed to-date this quarter.  Aquila also recently announced a deal with Global Crossing in which they gained access to 15,000 miles of fiber-optic capacity across the United States in support of their trading operations.</w:t>
      </w:r>
    </w:p>
    <w:p>
      <w:pPr>
        <w:pStyle w:val="Heading3"/>
        <w:ind w:hanging="0" w:start="0"/>
        <w:rPr/>
      </w:pPr>
      <w:r>
        <w:rPr/>
        <w:t>Full Spin of Aquila From UtiliCorp</w:t>
      </w:r>
    </w:p>
    <w:p>
      <w:pPr>
        <w:pStyle w:val="SSBBodyText"/>
        <w:rPr/>
      </w:pPr>
      <w:r>
        <w:rPr/>
        <w:t>We feel that Aquila suffers from a small float.  Although ILA currently has a $3 billion market capitalization (based on 97.5 million shares outstanding), their float is only 16.5 million shares, or approximately $530 million, equal to just under 20% of shares outstanding.  The parent UtiliCorp expects to spin-off the remaining 80% of shares within the next 11 months.  We expect that this event should provide a catalyst for the stock as it will increase liquidity, allowing a broader group of institutions to purchase the stock.</w:t>
      </w:r>
    </w:p>
    <w:p>
      <w:pPr>
        <w:pStyle w:val="Heading2"/>
        <w:ind w:hanging="0" w:start="0"/>
        <w:rPr/>
      </w:pPr>
      <w:r>
        <w:rPr/>
        <w:t>Valuation Considerations</w:t>
      </w:r>
    </w:p>
    <w:p>
      <w:pPr>
        <w:pStyle w:val="SSBBodyText"/>
        <w:rPr/>
      </w:pPr>
      <w:r>
        <w:rPr/>
        <w:t>In valuing Aquila, and all of the Energy Merchants, we look to answer three main questions:</w:t>
      </w:r>
    </w:p>
    <w:p>
      <w:pPr>
        <w:pStyle w:val="SSBBodyText"/>
        <w:rPr/>
      </w:pPr>
      <w:r>
        <w:rPr>
          <w:b/>
        </w:rPr>
        <w:t xml:space="preserve">(1) What percentage of overall company earnings are attributable to the Energy Merchant segment?  </w:t>
      </w:r>
      <w:r>
        <w:rPr/>
        <w:t>Aquila is a pure-play Energy Merchant, with Enron as its closest peer.  Unregulated merchant energy operations make up 100% of their business.  This compares favorably with their “merchant-centric” competitors, such as Enron and Dynegy, at 85% and 70%, respectively.</w:t>
      </w:r>
    </w:p>
    <w:p>
      <w:pPr>
        <w:pStyle w:val="SSBBodyText"/>
        <w:rPr/>
      </w:pPr>
      <w:r>
        <w:rPr>
          <w:b/>
        </w:rPr>
        <w:t xml:space="preserve">(2) How profitable is the energy marketing group?  And how consistent is their profitability?  </w:t>
      </w:r>
      <w:r>
        <w:rPr/>
        <w:t>We measure Energy Merchant profitability using operating profits per unit of energy marketed.</w:t>
      </w:r>
      <w:r>
        <w:rPr>
          <w:rStyle w:val="FootnoteCharacters"/>
          <w:rStyle w:val="FootnoteReference"/>
        </w:rPr>
        <w:footnoteReference w:id="2"/>
      </w:r>
      <w:r>
        <w:rPr/>
        <w:t xml:space="preserve">  Enron, the industry leader, is the benchmark for our analysis.  Enron’s margins have consistently been between two and four times those of their nearest competitors.  Not only are Enron’s margins significantly higher than their competitors, but they are consistent year-after-year, not varying more than plus or minus 5% from 1997 through the first half of 2000.</w:t>
      </w:r>
    </w:p>
    <w:p>
      <w:pPr>
        <w:pStyle w:val="SSBBodyText"/>
        <w:rPr/>
      </w:pPr>
      <w:r>
        <w:rPr/>
        <w:t>Aquila has also shown strong EBIT margins since 1997.  Our estimates of margins attributable to trading and marketing activities decreased over 50% from 1997 to 1998, likely as a result of highly volatile markets and Aquila’s relatively small scale compared with its peers.  While this decline is noticeable, we note that Aquila’s margins remained positive and relatively stable throughout the electricity price spikes.  In 1999, margins increased 24%, as a result of Aquila’s expansion of both scope and scale.  In 2000, margins have increased over 400%-- spectacular results when compared with their top peers.  This not only is a result of strong market conditions, but also from the fact that Aquila, for the first time, had their gas and power trading teams working physically under the same roof.  Aquila’s unit margins have shown 44% annual growth since 1997, but still remain well lower than those of their competitors Enron, Dynegy, and Duke.  We think that there is still some room for growth in margins, as Aquila's ability to offer higher-margin structured transactions grows; our model projects margins peaking in 2003 and remaining stable thereafter.</w:t>
      </w:r>
    </w:p>
    <w:p>
      <w:pPr>
        <w:pStyle w:val="SSBBodyText"/>
        <w:rPr/>
      </w:pPr>
      <w:r>
        <w:rPr>
          <w:b/>
        </w:rPr>
        <w:t xml:space="preserve">(3) How fast are energy merchant earnings growing?  </w:t>
      </w:r>
      <w:r>
        <w:rPr/>
        <w:t>Energy merchant earnings grew 103% annually from 1998 to 2000, and are expected to grow 20-25%% annually through 2005. Aquila’s strategy is to focus on higher margin trades, and less on trading volumes.  While this strategy has proven successful over the past three quarters, we believe that an energy marketer must maintain its scale and scope in order to remain competitive.  The way that energy marketers handle the risk associated with their structured transactions is through activity in the short-term markets.  As long as Aquila continues to be one of the top energy traders by volume, we feel that this effort to focus on higher-margin transactions will prove successful.</w:t>
      </w:r>
    </w:p>
    <w:p>
      <w:pPr>
        <w:pStyle w:val="SSBBodyText"/>
        <w:rPr/>
      </w:pPr>
      <w:r>
        <w:rPr/>
        <w:t>Figure 1.  Earnings vs. Trading Volumes, 1998-2005E</w:t>
      </w:r>
    </w:p>
    <w:p>
      <w:pPr>
        <w:pStyle w:val="SSBBodyText"/>
        <w:rPr>
          <w:sz w:val="14"/>
        </w:rPr>
      </w:pPr>
      <w:r>
        <w:rPr>
          <w:sz w:val="14"/>
        </w:rPr>
        <w:t>Note: Right scale-- Net Income (dollars in millions); Left scale--Trading Volumes in TBtue (Tera British thermal unit equivalents)</w:t>
      </w:r>
    </w:p>
    <w:p>
      <w:pPr>
        <w:pStyle w:val="SSBBodyText"/>
        <w:rPr/>
      </w:pPr>
      <w:r>
        <w:rPr/>
        <w:drawing>
          <wp:inline distT="0" distB="0" distL="0" distR="0">
            <wp:extent cx="4704715" cy="211518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6"/>
                    <a:srcRect l="-8" t="-17" r="-8" b="-17"/>
                    <a:stretch>
                      <a:fillRect/>
                    </a:stretch>
                  </pic:blipFill>
                  <pic:spPr bwMode="auto">
                    <a:xfrm>
                      <a:off x="0" y="0"/>
                      <a:ext cx="4704715" cy="2115185"/>
                    </a:xfrm>
                    <a:prstGeom prst="rect">
                      <a:avLst/>
                    </a:prstGeom>
                    <a:noFill/>
                  </pic:spPr>
                </pic:pic>
              </a:graphicData>
            </a:graphic>
          </wp:inline>
        </w:drawing>
      </w:r>
    </w:p>
    <w:p>
      <w:pPr>
        <w:pStyle w:val="Source"/>
        <w:rPr/>
      </w:pPr>
      <w:r>
        <w:rPr/>
        <w:t>Source: Company reports, Salomon Smith Barney</w:t>
      </w:r>
    </w:p>
    <w:p>
      <w:pPr>
        <w:pStyle w:val="SSBBodyText"/>
        <w:rPr/>
      </w:pPr>
      <w:r>
        <w:rPr/>
        <w:t>The answers to Questions 1-3 above are shown in Figure 2 below.  Based on these results, we view Aquila as one of the leading Energy Merchants.  They showed tremendous strides this year in their energy trading and marketing operations, and we expect these gains to continue as they move towards their aggressive merchant generation expansion goals.  Their intellectual capital base is among the best in the business, given their long-standing position in the energy markets.  Additionally, Aquila has shown initiative in developing markets, such as coal, weather derivatives, and bandwidth which we feel will provide them with first-mover advantage once these markets mature.</w:t>
      </w:r>
    </w:p>
    <w:p>
      <w:pPr>
        <w:pStyle w:val="SSBBodyText"/>
        <w:rPr/>
      </w:pPr>
      <w:r>
        <w:rPr/>
        <w:t>Figure 2.  Selected Peers-- Key Valuation Parameters</w:t>
      </w:r>
    </w:p>
    <w:tbl>
      <w:tblPr>
        <w:tblW w:w="7578" w:type="dxa"/>
        <w:jc w:val="start"/>
        <w:tblInd w:w="0" w:type="dxa"/>
        <w:tblLayout w:type="fixed"/>
        <w:tblCellMar>
          <w:top w:w="0" w:type="dxa"/>
          <w:start w:w="108" w:type="dxa"/>
          <w:bottom w:w="0" w:type="dxa"/>
          <w:end w:w="108" w:type="dxa"/>
        </w:tblCellMar>
      </w:tblPr>
      <w:tblGrid>
        <w:gridCol w:w="1368"/>
        <w:gridCol w:w="1440"/>
        <w:gridCol w:w="2070"/>
        <w:gridCol w:w="1620"/>
        <w:gridCol w:w="1080"/>
      </w:tblGrid>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2000 Trading &amp;</w:t>
            </w:r>
          </w:p>
        </w:tc>
        <w:tc>
          <w:tcPr>
            <w:tcW w:w="207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Merchant EBIT Annual</w:t>
            </w:r>
          </w:p>
        </w:tc>
        <w:tc>
          <w:tcPr>
            <w:tcW w:w="162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 Total Earnings</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2002 P/E</w:t>
            </w:r>
          </w:p>
        </w:tc>
      </w:tr>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Mktg. Margin</w:t>
            </w:r>
          </w:p>
        </w:tc>
        <w:tc>
          <w:tcPr>
            <w:tcW w:w="207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Growth (1998-2000)</w:t>
            </w:r>
          </w:p>
        </w:tc>
        <w:tc>
          <w:tcPr>
            <w:tcW w:w="162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From Merchant</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8"/>
              </w:rPr>
            </w:pPr>
            <w:r>
              <w:rPr>
                <w:b/>
                <w:sz w:val="18"/>
              </w:rPr>
              <w:t>Ratio</w:t>
            </w:r>
          </w:p>
        </w:tc>
      </w:tr>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Aquila</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$0.0231</w:t>
            </w:r>
          </w:p>
        </w:tc>
        <w:tc>
          <w:tcPr>
            <w:tcW w:w="207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103%</w:t>
            </w:r>
          </w:p>
        </w:tc>
        <w:tc>
          <w:tcPr>
            <w:tcW w:w="162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100%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22.0x</w:t>
            </w:r>
          </w:p>
        </w:tc>
      </w:tr>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Enron</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$0.1351</w:t>
            </w:r>
          </w:p>
        </w:tc>
        <w:tc>
          <w:tcPr>
            <w:tcW w:w="207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53%</w:t>
            </w:r>
          </w:p>
        </w:tc>
        <w:tc>
          <w:tcPr>
            <w:tcW w:w="162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85%</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28.1x</w:t>
            </w:r>
          </w:p>
        </w:tc>
      </w:tr>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Dynegy</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$0.0673</w:t>
            </w:r>
          </w:p>
        </w:tc>
        <w:tc>
          <w:tcPr>
            <w:tcW w:w="207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112%</w:t>
            </w:r>
          </w:p>
        </w:tc>
        <w:tc>
          <w:tcPr>
            <w:tcW w:w="162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70%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22.7x</w:t>
            </w:r>
          </w:p>
        </w:tc>
      </w:tr>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Duke</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$0.0602</w:t>
            </w:r>
          </w:p>
        </w:tc>
        <w:tc>
          <w:tcPr>
            <w:tcW w:w="207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319%</w:t>
            </w:r>
          </w:p>
        </w:tc>
        <w:tc>
          <w:tcPr>
            <w:tcW w:w="162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27%</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14.8x</w:t>
            </w:r>
          </w:p>
        </w:tc>
      </w:tr>
      <w:tr>
        <w:trPr>
          <w:trHeight w:val="240" w:hRule="exact"/>
        </w:trPr>
        <w:tc>
          <w:tcPr>
            <w:tcW w:w="136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Average</w:t>
            </w:r>
          </w:p>
        </w:tc>
        <w:tc>
          <w:tcPr>
            <w:tcW w:w="144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18"/>
              </w:rPr>
            </w:pPr>
            <w:r>
              <w:rPr>
                <w:sz w:val="18"/>
              </w:rPr>
            </w:r>
          </w:p>
        </w:tc>
        <w:tc>
          <w:tcPr>
            <w:tcW w:w="207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sz w:val="18"/>
              </w:rPr>
            </w:pPr>
            <w:r>
              <w:rPr>
                <w:sz w:val="18"/>
              </w:rPr>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18"/>
              </w:rPr>
            </w:pPr>
            <w:r>
              <w:rPr>
                <w:sz w:val="18"/>
              </w:rPr>
              <w:t>21.9x</w:t>
            </w:r>
          </w:p>
        </w:tc>
      </w:tr>
    </w:tbl>
    <w:p>
      <w:pPr>
        <w:pStyle w:val="Source"/>
        <w:rPr/>
      </w:pPr>
      <w:r>
        <w:rPr/>
        <w:t>Source: Company reports, Salomon Smith Barney research</w:t>
      </w:r>
    </w:p>
    <w:p>
      <w:pPr>
        <w:pStyle w:val="SSBBodyText"/>
        <w:rPr/>
      </w:pPr>
      <w:r>
        <w:rPr/>
        <w:t>In placing a value on Aquila, we look to see how comparable Energy Merchants are priced in the marketplace.  Enron and Dynegy, with well over half of their earnings attributable to merchant operations, have 2002 P/E ratios in the 20-30x range.  Duke, on the other hand, remains dominated by its regulated earnings, which is expressed by its 15x multiple.  We conservatively place Aquila at a 22x multiple, with potential upside given its position as a pure-play Energy Merchant.</w:t>
      </w:r>
    </w:p>
    <w:p>
      <w:pPr>
        <w:pStyle w:val="SSBBodyText"/>
        <w:rPr/>
      </w:pPr>
      <w:r>
        <w:rPr/>
        <w:t>We believe that Aquila is attractively priced relative to their peers.  At 2001 and 2002 PEG ratios of 0.9x and 0.7x respectively, Aquila is well below their industry group averages of 1.2x and 1.0x (see Figure 3 below).  Our analysis is based on what we see as a conservative long-term growth rate of 20-25%, which we believe could be sustained at the high-end (25%) over the next several years.</w:t>
      </w:r>
    </w:p>
    <w:p>
      <w:pPr>
        <w:pStyle w:val="SSBBodyText"/>
        <w:rPr/>
      </w:pPr>
      <w:r>
        <w:rPr/>
        <w:t>Figure 3.  Energy Merchant P/E-to-Growth (PEG) Ratios</w:t>
      </w:r>
    </w:p>
    <w:tbl>
      <w:tblPr>
        <w:tblW w:w="8318" w:type="dxa"/>
        <w:jc w:val="start"/>
        <w:tblInd w:w="0" w:type="dxa"/>
        <w:tblLayout w:type="fixed"/>
        <w:tblCellMar>
          <w:top w:w="0" w:type="dxa"/>
          <w:start w:w="108" w:type="dxa"/>
          <w:bottom w:w="0" w:type="dxa"/>
          <w:end w:w="108" w:type="dxa"/>
        </w:tblCellMar>
      </w:tblPr>
      <w:tblGrid>
        <w:gridCol w:w="1433"/>
        <w:gridCol w:w="650"/>
        <w:gridCol w:w="657"/>
        <w:gridCol w:w="657"/>
        <w:gridCol w:w="679"/>
        <w:gridCol w:w="698"/>
        <w:gridCol w:w="649"/>
        <w:gridCol w:w="541"/>
        <w:gridCol w:w="541"/>
        <w:gridCol w:w="715"/>
        <w:gridCol w:w="549"/>
        <w:gridCol w:w="549"/>
      </w:tblGrid>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b/>
                <w:sz w:val="13"/>
              </w:rPr>
            </w:pPr>
            <w:r>
              <w:rPr>
                <w:b/>
                <w:sz w:val="13"/>
              </w:rPr>
            </w:r>
          </w:p>
        </w:tc>
        <w:tc>
          <w:tcPr>
            <w:tcW w:w="65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b/>
                <w:sz w:val="13"/>
              </w:rPr>
            </w:pPr>
            <w:r>
              <w:rPr>
                <w:b/>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SSB</w:t>
            </w:r>
          </w:p>
        </w:tc>
        <w:tc>
          <w:tcPr>
            <w:tcW w:w="657"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Price</w:t>
            </w:r>
          </w:p>
        </w:tc>
        <w:tc>
          <w:tcPr>
            <w:tcW w:w="67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Price</w:t>
            </w:r>
          </w:p>
        </w:tc>
        <w:tc>
          <w:tcPr>
            <w:tcW w:w="1347" w:type="dxa"/>
            <w:gridSpan w:val="2"/>
            <w:tcBorders>
              <w:top w:val="single" w:sz="4" w:space="0" w:color="000000"/>
              <w:start w:val="single" w:sz="4" w:space="0" w:color="000000"/>
              <w:bottom w:val="single" w:sz="4" w:space="0" w:color="000000"/>
              <w:end w:val="single" w:sz="4" w:space="0" w:color="000000"/>
            </w:tcBorders>
            <w:vAlign w:val="center"/>
          </w:tcPr>
          <w:p>
            <w:pPr>
              <w:pStyle w:val="SSBBodyText"/>
              <w:spacing w:before="0" w:after="180"/>
              <w:jc w:val="center"/>
              <w:rPr>
                <w:b/>
                <w:sz w:val="13"/>
              </w:rPr>
            </w:pPr>
            <w:r>
              <w:rPr>
                <w:b/>
                <w:sz w:val="13"/>
              </w:rPr>
              <w:t>SSB Earnings Ests.</w:t>
            </w:r>
          </w:p>
        </w:tc>
        <w:tc>
          <w:tcPr>
            <w:tcW w:w="1082" w:type="dxa"/>
            <w:gridSpan w:val="2"/>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P/E</w:t>
            </w:r>
          </w:p>
        </w:tc>
        <w:tc>
          <w:tcPr>
            <w:tcW w:w="71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L/T</w:t>
            </w:r>
          </w:p>
        </w:tc>
        <w:tc>
          <w:tcPr>
            <w:tcW w:w="54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2001</w:t>
            </w:r>
          </w:p>
        </w:tc>
        <w:tc>
          <w:tcPr>
            <w:tcW w:w="54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2002</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3"/>
              </w:rPr>
            </w:pPr>
            <w:r>
              <w:rPr>
                <w:b/>
                <w:sz w:val="13"/>
              </w:rPr>
              <w:t>Company</w:t>
            </w:r>
          </w:p>
        </w:tc>
        <w:tc>
          <w:tcPr>
            <w:tcW w:w="65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Ticker</w:t>
            </w:r>
          </w:p>
        </w:tc>
        <w:tc>
          <w:tcPr>
            <w:tcW w:w="657"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Rating</w:t>
            </w:r>
          </w:p>
        </w:tc>
        <w:tc>
          <w:tcPr>
            <w:tcW w:w="657"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Target</w:t>
            </w:r>
          </w:p>
        </w:tc>
        <w:tc>
          <w:tcPr>
            <w:tcW w:w="67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5/17/01</w:t>
            </w:r>
          </w:p>
        </w:tc>
        <w:tc>
          <w:tcPr>
            <w:tcW w:w="698"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2001</w:t>
            </w:r>
          </w:p>
        </w:tc>
        <w:tc>
          <w:tcPr>
            <w:tcW w:w="64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2002</w:t>
            </w:r>
          </w:p>
        </w:tc>
        <w:tc>
          <w:tcPr>
            <w:tcW w:w="5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2001</w:t>
            </w:r>
          </w:p>
        </w:tc>
        <w:tc>
          <w:tcPr>
            <w:tcW w:w="54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2002</w:t>
            </w:r>
          </w:p>
        </w:tc>
        <w:tc>
          <w:tcPr>
            <w:tcW w:w="71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Growth</w:t>
            </w:r>
          </w:p>
        </w:tc>
        <w:tc>
          <w:tcPr>
            <w:tcW w:w="54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PEG</w:t>
            </w:r>
          </w:p>
        </w:tc>
        <w:tc>
          <w:tcPr>
            <w:tcW w:w="549"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13"/>
              </w:rPr>
            </w:pPr>
            <w:r>
              <w:rPr>
                <w:b/>
                <w:sz w:val="13"/>
              </w:rPr>
              <w:t>PEG</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5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7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9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715"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3"/>
              </w:rPr>
            </w:pPr>
            <w:r>
              <w:rPr>
                <w:sz w:val="13"/>
              </w:rPr>
              <w:t>Enron Corporation #</w:t>
            </w:r>
          </w:p>
        </w:tc>
        <w:tc>
          <w:tcPr>
            <w:tcW w:w="650"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ENE</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1H</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$100</w:t>
            </w:r>
          </w:p>
        </w:tc>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52.20</w:t>
            </w:r>
          </w:p>
        </w:tc>
        <w:tc>
          <w:tcPr>
            <w:tcW w:w="698"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1.80</w:t>
            </w:r>
          </w:p>
        </w:tc>
        <w:tc>
          <w:tcPr>
            <w:tcW w:w="6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2.05</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29.0</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25.5</w:t>
            </w:r>
          </w:p>
        </w:tc>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20%</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1.5</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1.3</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3"/>
              </w:rPr>
            </w:pPr>
            <w:r>
              <w:rPr>
                <w:sz w:val="13"/>
              </w:rPr>
              <w:t>Dynegy Inc.#</w:t>
            </w:r>
          </w:p>
        </w:tc>
        <w:tc>
          <w:tcPr>
            <w:tcW w:w="650"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DYN</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1H</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$70</w:t>
            </w:r>
          </w:p>
        </w:tc>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54.36</w:t>
            </w:r>
          </w:p>
        </w:tc>
        <w:tc>
          <w:tcPr>
            <w:tcW w:w="698"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2.00</w:t>
            </w:r>
          </w:p>
        </w:tc>
        <w:tc>
          <w:tcPr>
            <w:tcW w:w="6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2.40</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27.2</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22.7</w:t>
            </w:r>
          </w:p>
        </w:tc>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20%</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1.4</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1.1</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3"/>
              </w:rPr>
            </w:pPr>
            <w:r>
              <w:rPr>
                <w:sz w:val="13"/>
              </w:rPr>
              <w:t>El Paso Corporation #</w:t>
            </w:r>
          </w:p>
        </w:tc>
        <w:tc>
          <w:tcPr>
            <w:tcW w:w="650"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EPG</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1H</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$85</w:t>
            </w:r>
          </w:p>
        </w:tc>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61.76</w:t>
            </w:r>
          </w:p>
        </w:tc>
        <w:tc>
          <w:tcPr>
            <w:tcW w:w="698"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3.35</w:t>
            </w:r>
          </w:p>
        </w:tc>
        <w:tc>
          <w:tcPr>
            <w:tcW w:w="6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3.80</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18.4</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16.3</w:t>
            </w:r>
          </w:p>
        </w:tc>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15%</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1.2</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1.1</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3"/>
              </w:rPr>
            </w:pPr>
            <w:r>
              <w:rPr>
                <w:sz w:val="13"/>
              </w:rPr>
              <w:t>Duke Energy #</w:t>
            </w:r>
          </w:p>
        </w:tc>
        <w:tc>
          <w:tcPr>
            <w:tcW w:w="650"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DUK</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1M</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$60</w:t>
            </w:r>
          </w:p>
        </w:tc>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45.33</w:t>
            </w:r>
          </w:p>
        </w:tc>
        <w:tc>
          <w:tcPr>
            <w:tcW w:w="698"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2.70</w:t>
            </w:r>
          </w:p>
        </w:tc>
        <w:tc>
          <w:tcPr>
            <w:tcW w:w="6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3.10</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16.8</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14.6</w:t>
            </w:r>
          </w:p>
        </w:tc>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17%</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1.0</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sz w:val="13"/>
              </w:rPr>
            </w:pPr>
            <w:r>
              <w:rPr>
                <w:sz w:val="13"/>
              </w:rPr>
              <w:t>0.9</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3"/>
              </w:rPr>
            </w:pPr>
            <w:r>
              <w:rPr>
                <w:sz w:val="13"/>
              </w:rPr>
              <w:t>Williams #</w:t>
            </w:r>
          </w:p>
        </w:tc>
        <w:tc>
          <w:tcPr>
            <w:tcW w:w="650"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WMB</w:t>
            </w:r>
          </w:p>
        </w:tc>
        <w:tc>
          <w:tcPr>
            <w:tcW w:w="657"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1H</w:t>
            </w:r>
          </w:p>
        </w:tc>
        <w:tc>
          <w:tcPr>
            <w:tcW w:w="657"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$54</w:t>
            </w:r>
          </w:p>
        </w:tc>
        <w:tc>
          <w:tcPr>
            <w:tcW w:w="679"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40.51</w:t>
            </w:r>
          </w:p>
        </w:tc>
        <w:tc>
          <w:tcPr>
            <w:tcW w:w="698"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2.30</w:t>
            </w:r>
          </w:p>
        </w:tc>
        <w:tc>
          <w:tcPr>
            <w:tcW w:w="649"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2.70</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17.6</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15.0</w:t>
            </w:r>
          </w:p>
        </w:tc>
        <w:tc>
          <w:tcPr>
            <w:tcW w:w="715"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19%</w:t>
            </w:r>
          </w:p>
        </w:tc>
        <w:tc>
          <w:tcPr>
            <w:tcW w:w="549"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0.9</w:t>
            </w:r>
          </w:p>
        </w:tc>
        <w:tc>
          <w:tcPr>
            <w:tcW w:w="549" w:type="dxa"/>
            <w:tcBorders>
              <w:top w:val="single" w:sz="4" w:space="0" w:color="000000"/>
              <w:start w:val="single" w:sz="4" w:space="0" w:color="000000"/>
              <w:bottom w:val="single" w:sz="4" w:space="0" w:color="000000"/>
              <w:end w:val="single" w:sz="4" w:space="0" w:color="000000"/>
            </w:tcBorders>
          </w:tcPr>
          <w:p>
            <w:pPr>
              <w:pStyle w:val="Normal"/>
              <w:spacing w:lineRule="atLeast" w:line="250"/>
              <w:jc w:val="center"/>
              <w:rPr>
                <w:sz w:val="13"/>
              </w:rPr>
            </w:pPr>
            <w:r>
              <w:rPr>
                <w:sz w:val="13"/>
              </w:rPr>
              <w:t>0.8</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3"/>
              </w:rPr>
            </w:pPr>
            <w:r>
              <w:rPr>
                <w:b/>
                <w:sz w:val="13"/>
              </w:rPr>
              <w:t>Aquila</w:t>
            </w:r>
          </w:p>
        </w:tc>
        <w:tc>
          <w:tcPr>
            <w:tcW w:w="650"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ILA</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1H</w:t>
            </w:r>
          </w:p>
        </w:tc>
        <w:tc>
          <w:tcPr>
            <w:tcW w:w="657"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$44</w:t>
            </w:r>
          </w:p>
        </w:tc>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32.55</w:t>
            </w:r>
          </w:p>
        </w:tc>
        <w:tc>
          <w:tcPr>
            <w:tcW w:w="698"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1.65</w:t>
            </w:r>
          </w:p>
        </w:tc>
        <w:tc>
          <w:tcPr>
            <w:tcW w:w="649"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2.00</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19.7</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16.3</w:t>
            </w:r>
          </w:p>
        </w:tc>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22%</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0.9</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0.7</w:t>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5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7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9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6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715"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c>
          <w:tcPr>
            <w:tcW w:w="5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3"/>
              </w:rPr>
            </w:pPr>
            <w:r>
              <w:rPr>
                <w:sz w:val="13"/>
              </w:rPr>
            </w:r>
          </w:p>
        </w:tc>
      </w:tr>
      <w:tr>
        <w:trPr>
          <w:trHeight w:val="240" w:hRule="exact"/>
        </w:trPr>
        <w:tc>
          <w:tcPr>
            <w:tcW w:w="1433"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3"/>
              </w:rPr>
            </w:pPr>
            <w:r>
              <w:rPr>
                <w:b/>
                <w:sz w:val="13"/>
              </w:rPr>
              <w:t>Average</w:t>
            </w:r>
          </w:p>
        </w:tc>
        <w:tc>
          <w:tcPr>
            <w:tcW w:w="65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57"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7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9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649"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3"/>
              </w:rPr>
            </w:pPr>
            <w:r>
              <w:rPr>
                <w:b/>
                <w:sz w:val="13"/>
              </w:rPr>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22.5</w:t>
            </w:r>
          </w:p>
        </w:tc>
        <w:tc>
          <w:tcPr>
            <w:tcW w:w="541"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19.3</w:t>
            </w:r>
          </w:p>
        </w:tc>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18.8%</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 xml:space="preserve">1.2 </w:t>
            </w:r>
          </w:p>
        </w:tc>
        <w:tc>
          <w:tcPr>
            <w:tcW w:w="549" w:type="dxa"/>
            <w:tcBorders>
              <w:top w:val="single" w:sz="4" w:space="0" w:color="000000"/>
              <w:start w:val="single" w:sz="4" w:space="0" w:color="000000"/>
              <w:bottom w:val="single" w:sz="4" w:space="0" w:color="000000"/>
              <w:end w:val="single" w:sz="4" w:space="0" w:color="000000"/>
            </w:tcBorders>
          </w:tcPr>
          <w:p>
            <w:pPr>
              <w:pStyle w:val="Normal"/>
              <w:jc w:val="center"/>
              <w:rPr>
                <w:b/>
                <w:sz w:val="13"/>
              </w:rPr>
            </w:pPr>
            <w:r>
              <w:rPr>
                <w:b/>
                <w:sz w:val="13"/>
              </w:rPr>
              <w:t xml:space="preserve">1.0 </w:t>
            </w:r>
          </w:p>
        </w:tc>
      </w:tr>
    </w:tbl>
    <w:p>
      <w:pPr>
        <w:pStyle w:val="Source"/>
        <w:rPr/>
      </w:pPr>
      <w:r>
        <w:rPr/>
        <w:t>Source: Salomon Smith Barney</w:t>
      </w:r>
    </w:p>
    <w:p>
      <w:pPr>
        <w:pStyle w:val="SSBBodyText"/>
        <w:rPr/>
      </w:pPr>
      <w:r>
        <w:rPr/>
        <w:t>We assign a 22x 2002 P/E multiple to Aquila, slightly above their Energy Merchant peer average, reflecting their position as a “pure-play” Energy Merchant, and the traction that they have achieved over recent years.  This brings us to a 1.0x PEG ratio for 2002, in-line with the industry peer average, and a conservative valuation in our view.  Given our 2002 EPS estimate of $1.00, we place a 12-month price target on ILA of $44, representing 35% upside from its current price of $32.55.</w:t>
      </w:r>
    </w:p>
    <w:p>
      <w:pPr>
        <w:pStyle w:val="Heading2"/>
        <w:ind w:hanging="0" w:start="0"/>
        <w:rPr>
          <w:rFonts w:ascii="TIMES" w:hAnsi="TIMES" w:cs="TIMES"/>
          <w:sz w:val="22"/>
        </w:rPr>
      </w:pPr>
      <w:r>
        <w:rPr/>
        <w:t>Risks</w:t>
      </w:r>
    </w:p>
    <w:p>
      <w:pPr>
        <w:pStyle w:val="Heading3"/>
        <w:ind w:hanging="0" w:start="0"/>
        <w:rPr/>
      </w:pPr>
      <w:r>
        <w:rPr/>
        <w:t>Threats of Industry Re-Regulation</w:t>
      </w:r>
    </w:p>
    <w:p>
      <w:pPr>
        <w:pStyle w:val="SSBBodyText"/>
        <w:rPr/>
      </w:pPr>
      <w:r>
        <w:rPr/>
        <w:t>Growth Energy stocks have suffered over the past few months due to concerns over California and fears of re-regulation.  We note that Aquila’s exposure to the California markets remains minimal, with only 8% of their generating capacity located in the state.  Foreseeing the risks of transacting in the California markets before the crisis actually developed, Aquila significantly pared down their trading activities in the region last summer (their trading &amp; marketing receivable exposure stands at $4 million and is completely reserved for).  Aquila has said that they have had one customer refuse to pay for power under a QF (qualifying facility is a term applied to power plants built under laws designed to encourage the construction of small, often environmentally friendly plants by private, non-utility companies) contract from one of their California facilities, giving them an additional exposure of $59 million ($0.59 EPS), which they have not reserved for.  Although we view the financial risk from this situation as small, we see the existence of “headline” risk for all Growth Energy names until the situation is resolved.</w:t>
      </w:r>
    </w:p>
    <w:p>
      <w:pPr>
        <w:pStyle w:val="Heading3"/>
        <w:ind w:hanging="0" w:start="0"/>
        <w:rPr/>
      </w:pPr>
      <w:r>
        <w:rPr/>
        <w:t>Ability to Maintain Credit Standing</w:t>
      </w:r>
    </w:p>
    <w:p>
      <w:pPr>
        <w:pStyle w:val="SSBBodyText"/>
        <w:rPr/>
      </w:pPr>
      <w:r>
        <w:rPr/>
        <w:t>As an energy trading company, we feel that Aquila must maintain an adequate credit rating.  We are encouraged by the recent BBB rating placed on Aquila by Standard &amp; Poor’s, but note that as a stand-alone pure-play energy marketer and trader with a relatively small balance sheet, maintenance of an investment grade rating is crucial.  In part to maintain their credit rating, Aquila intends to remain significantly under-leveraged, with a debt to cap ratio of no greater than approximately 40%.  This is important not only for Aquila’s ability to finance their growth, but also in their day-to-day operations, as they need investment grade standing to be considered as a good-standing counterparty in their trading activities.</w:t>
      </w:r>
    </w:p>
    <w:p>
      <w:pPr>
        <w:pStyle w:val="Heading3"/>
        <w:ind w:hanging="0" w:start="0"/>
        <w:rPr/>
      </w:pPr>
      <w:r>
        <w:rPr/>
        <w:t>Relatively Small Balance Sheet</w:t>
      </w:r>
    </w:p>
    <w:p>
      <w:pPr>
        <w:pStyle w:val="SSBBodyText"/>
        <w:rPr/>
      </w:pPr>
      <w:r>
        <w:rPr/>
        <w:t>Given its relatively small size, Aquila is more vulnerable than their larger peers in the extreme case of a disastrous event in the power or natural gas markets.  In our opinion, compensating for their relatively small size is the fact that they use very conservative accounting and risk management practices.  We point out that, as a pure play energy merchant, Aquila has no strong, low-risk earnings base with which to support their operations (i.e. a pipeline or utility, which provide stability to other merchants such as Enron and Dynegy).  However, we are confident in their track record in their core businesses, and cite their decision in mid-2000 to sharply reduce their trading activity in California as an example of their strong risk management discipline.</w:t>
      </w:r>
    </w:p>
    <w:p>
      <w:pPr>
        <w:pStyle w:val="Heading2"/>
        <w:ind w:hanging="0" w:start="0"/>
        <w:rPr/>
      </w:pPr>
      <w:r>
        <w:rPr/>
        <w:t>Aquila Energy Inc. Income Statement</w:t>
      </w:r>
    </w:p>
    <w:p>
      <w:pPr>
        <w:pStyle w:val="Normal"/>
        <w:rPr/>
      </w:pPr>
      <w:r>
        <w:rPr/>
      </w:r>
    </w:p>
    <w:p>
      <w:pPr>
        <w:pStyle w:val="Normal"/>
        <w:spacing w:lineRule="atLeast" w:line="240"/>
        <w:rPr/>
      </w:pPr>
      <w:r>
        <w:rPr/>
        <w:drawing>
          <wp:inline distT="0" distB="0" distL="0" distR="0">
            <wp:extent cx="4963160" cy="502920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7"/>
                    <a:srcRect l="-3" t="-3" r="-3" b="-3"/>
                    <a:stretch>
                      <a:fillRect/>
                    </a:stretch>
                  </pic:blipFill>
                  <pic:spPr bwMode="auto">
                    <a:xfrm>
                      <a:off x="0" y="0"/>
                      <a:ext cx="4963160" cy="5029200"/>
                    </a:xfrm>
                    <a:prstGeom prst="rect">
                      <a:avLst/>
                    </a:prstGeom>
                    <a:noFill/>
                  </pic:spPr>
                </pic:pic>
              </a:graphicData>
            </a:graphic>
          </wp:inline>
        </w:drawing>
      </w:r>
    </w:p>
    <w:p>
      <w:pPr>
        <w:sectPr>
          <w:footnotePr>
            <w:numFmt w:val="decimal"/>
          </w:footnotePr>
          <w:type w:val="continuous"/>
          <w:pgSz w:w="12240" w:h="15840"/>
          <w:pgMar w:left="3096" w:right="1310" w:gutter="0" w:header="504" w:top="1008" w:footer="576" w:bottom="965"/>
          <w:formProt w:val="false"/>
          <w:titlePg/>
          <w:textDirection w:val="lrTb"/>
          <w:docGrid w:type="default" w:linePitch="360" w:charSpace="0"/>
        </w:sectPr>
      </w:pPr>
    </w:p>
    <w:p>
      <w:pPr>
        <w:pStyle w:val="SSBBodyHeading"/>
        <w:rPr/>
      </w:pPr>
      <w:bookmarkStart w:id="3" w:name="SSB_ReusableText"/>
      <w:bookmarkStart w:id="4" w:name="SSB_Insert"/>
      <w:bookmarkEnd w:id="3"/>
      <w:bookmarkEnd w:id="4"/>
      <w:r>
        <w:rPr/>
        <w:t>Investment Thesis</w:t>
      </w:r>
    </w:p>
    <w:p>
      <w:pPr>
        <w:pStyle w:val="SSBBodyText"/>
        <w:rPr/>
      </w:pPr>
      <w:bookmarkStart w:id="5" w:name="TRC_THESIS"/>
      <w:r>
        <w:rPr/>
        <w:fldChar w:fldCharType="begin"/>
      </w:r>
      <w:r>
        <w:rPr/>
        <w:instrText xml:space="preserve"> DOCVARIABLE trc_Thesis </w:instrText>
      </w:r>
      <w:r>
        <w:rPr/>
        <w:fldChar w:fldCharType="separate"/>
      </w:r>
      <w:r>
        <w:rPr/>
        <w:t>We initiate coverage of Aquila, Inc. with a 1H (Buy, High Risk) rating and a 12-month price target of $44.  Aquila is a pure-play Energy Merchant, leveraging their strong trading and risk management skills in the rapidly growing energy markets.  Aquila was an early mover into these deregulating markets, and has shown strong traction over recent years, which we believe is sustainable in the long-term.  We suggest a 20-25% growth rate for ILA driven by the robust wholesale energy industry growth outlook and the potential for successful expansion into new commodities and geographies.  At a 2002 0.7x P/E-to-growth (PEG) ratio, ILA is trading at a significant discount to their Energy Merchant peer average of 1.0x..  Based on their strong track record and potential for industry-leading earnings growth, we place a PEG value on ILA of 1.0x 2002 earnings, leading to our $44 price target.</w:t>
      </w:r>
      <w:r>
        <w:rPr/>
        <w:fldChar w:fldCharType="end"/>
      </w:r>
      <w:bookmarkEnd w:id="5"/>
    </w:p>
    <w:p>
      <w:pPr>
        <w:pStyle w:val="SSBBodyHeading"/>
        <w:rPr/>
      </w:pPr>
      <w:r>
        <w:rPr/>
        <w:t>Company Description</w:t>
      </w:r>
    </w:p>
    <w:p>
      <w:pPr>
        <w:pStyle w:val="SSBBodyText"/>
        <w:rPr/>
      </w:pPr>
      <w:bookmarkStart w:id="6" w:name="TRC_DESCRIPTION"/>
      <w:r>
        <w:rPr/>
        <w:fldChar w:fldCharType="begin"/>
      </w:r>
      <w:r>
        <w:rPr/>
        <w:instrText xml:space="preserve"> DOCVARIABLE trc_Description </w:instrText>
      </w:r>
      <w:r>
        <w:rPr/>
        <w:fldChar w:fldCharType="separate"/>
      </w:r>
      <w:r>
        <w:rPr/>
        <w:t>Aquila, Inc. is a leading Energy Merchant, providing energy  risk management services to customers through their Commodity Services segment, and controlling energy assets through their Capacity Services segment. Aquila can be thought of as a marketing and trading “pure play” relative to their Merchant peers, with less of a focus on owning physical assets.  We believe that this strategy can provide sustained 20-25% earnings growth, driven by the continued development of existing markets as well as the expansion of their successful business model into new geographies, such as Europe, and new commodities, such as bandwidth.</w:t>
      </w:r>
      <w:r>
        <w:rPr/>
        <w:fldChar w:fldCharType="end"/>
      </w:r>
      <w:bookmarkEnd w:id="6"/>
    </w:p>
    <w:p>
      <w:pPr>
        <w:pStyle w:val="Normal"/>
        <w:rPr/>
      </w:pPr>
      <w:r>
        <w:rPr/>
      </w:r>
      <w:bookmarkStart w:id="7" w:name="SSB_ReusableText"/>
      <w:bookmarkStart w:id="8" w:name="SSB_ReusableText"/>
      <w:bookmarkEnd w:id="8"/>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rPr>
        <w:instrText xml:space="preserve"> FORMTEXT </w:instrText>
      </w:r>
      <w:r>
        <w:rPr>
          <w:rFonts w:eastAsia="Arial"/>
        </w:rPr>
      </w:r>
      <w:r>
        <w:rPr/>
        <w:fldChar w:fldCharType="separate"/>
      </w:r>
      <w:r>
        <w:rPr/>
        <w:t xml:space="preserve"> </w:t>
      </w: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rPr>
        <w:instrText xml:space="preserve"> FORMTEXT </w:instrText>
      </w:r>
      <w:r>
        <w:rPr>
          <w:rFonts w:eastAsia="Arial"/>
          <w:vanish/>
        </w:rPr>
      </w:r>
      <w:r>
        <w:rPr>
          <w:vanish/>
        </w:rPr>
        <w:fldChar w:fldCharType="separate"/>
      </w:r>
      <w:r>
        <w:rPr>
          <w:vanish/>
        </w:rPr>
        <w:t xml:space="preserve"> </w:t>
      </w:r>
      <w:r>
        <w:rPr>
          <w:vanish/>
        </w:rPr>
      </w:r>
      <w:r>
        <w:rPr>
          <w:vanish/>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notePr>
        <w:numFmt w:val="decimal"/>
      </w:footnote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Black">
    <w:charset w:val="00" w:characterSet="windows-1252"/>
    <w:family w:val="swiss"/>
    <w:pitch w:val="variable"/>
  </w:font>
  <w:font w:name="Wingdings">
    <w:charset w:val="02"/>
    <w:family w:val="auto"/>
    <w:pitch w:val="variable"/>
  </w:font>
  <w:font w:name="ZapfDingbats">
    <w:charset w:val="0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6">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160" w:before="0" w:after="120"/>
        <w:rPr/>
      </w:pPr>
      <w:r>
        <w:rPr>
          <w:rStyle w:val="FootnoteCharacters"/>
        </w:rPr>
        <w:footnoteRef/>
      </w:r>
      <w:r>
        <w:rPr/>
        <w:t xml:space="preserve"> </w:t>
      </w:r>
      <w:r>
        <w:rPr/>
        <w:t>British thermal unit equivalents (Btue), calculated where 10,000 mcf of gas = 1 kwh of electricity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Change"/>
      <w:rPr/>
    </w:pPr>
    <w:r>
      <w:rPr/>
      <w:t xml:space="preserve">Initiating Coverage </w:t>
    </w:r>
    <w:r>
      <w:rPr>
        <w:rStyle w:val="SSBChangeCheckBox"/>
        <w:rFonts w:eastAsia="Wingdings"/>
      </w:rPr>
      <w:sym w:font="ZapfDingbats" w:char="f0fe"/>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3">
    <w:lvl w:ilvl="0">
      <w:numFmt w:val="bullet"/>
      <w:lvlText w:val=""/>
      <w:lvlJc w:val="start"/>
      <w:pPr>
        <w:tabs>
          <w:tab w:val="num" w:pos="461"/>
        </w:tabs>
        <w:ind w:start="691" w:hanging="461"/>
      </w:pPr>
      <w:rPr>
        <w:rFonts w:ascii="ZapfDingbats" w:hAnsi="ZapfDingbats" w:cs="ZapfDingbats" w:hint="default"/>
        <w:sz w:val="26"/>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NEXTERATemplateVersion" w:val="1.0"/>
    <w:docVar w:name="NEXTERAUpdated" w:val="9/20/99"/>
    <w:docVar w:name="trc_ActualMoQD" w:val="Mar 2001"/>
    <w:docVar w:name="trc_AnalystEmail1" w:val="NULL"/>
    <w:docVar w:name="trc_AnalystEmail2" w:val="NULL"/>
    <w:docVar w:name="trc_AnalystEmail3" w:val="NULL"/>
    <w:docVar w:name="trc_AnalystID" w:val="rn95785"/>
    <w:docVar w:name="trc_AnalystID_Sec1" w:val="bm58212"/>
    <w:docVar w:name="trc_AnalystID_Sec2" w:val="NULL"/>
    <w:docVar w:name="trc_AnalystName1" w:val="Raymond Niles"/>
    <w:docVar w:name="trc_AnalystName2" w:val="Benjamin Morton"/>
    <w:docVar w:name="trc_AnalystName3" w:val="NULL"/>
    <w:docVar w:name="trc_AnalystPhone1" w:val="NULL"/>
    <w:docVar w:name="trc_AnalystPhone2" w:val="NULL"/>
    <w:docVar w:name="trc_AnalystPhone3" w:val="NULL"/>
    <w:docVar w:name="trc_blastvm" w:val="False"/>
    <w:docVar w:name="trc_CalYear1" w:val="NULL"/>
    <w:docVar w:name="trc_CalYear2" w:val="NULL"/>
    <w:docVar w:name="trc_CalYear3" w:val="NULL"/>
    <w:docVar w:name="trc_CalYear4" w:val="NULL"/>
    <w:docVar w:name="trc_comments" w:val="Please hold until Monday am initiation.  Thanks."/>
    <w:docVar w:name="trc_companyname" w:val="Aquila, Inc."/>
    <w:docVar w:name="trc_CONVERTIBLE" w:val="No"/>
    <w:docVar w:name="trc_CurFY" w:val="2001"/>
    <w:docVar w:name="trc_CurrentPrice" w:val="32.55"/>
    <w:docVar w:name="trc_CurrentPrice_P" w:val="31.30"/>
    <w:docVar w:name="trc_DateOfSubmission" w:val="05/18/2001 3:44:48 PM"/>
    <w:docVar w:name="trc_Description" w:val="Aquila, Inc. is a leading Energy Merchant, providing energy  risk management services to customers through their Commodity Services segment, and controlling energy assets through their Capacity Services segment. Aquila can be thought of as a marketing and trading “pure play” relative to their Merchant peers, with less of a focus on owning physical assets.  We believe that this strategy can provide sustained 20-25% earnings growth, driven by the continued development of existing markets as well as the expansion of their successful business model into new geographies, such as Europe, and new commodities, such as bandwidth."/>
    <w:docVar w:name="trc_DOC_NOTE_ProtectDate" w:val="05/18/2001 3:54:42 PM"/>
    <w:docVar w:name="trc_DocID" w:val="42221"/>
    <w:docVar w:name="trc_DocumentType" w:val="2"/>
    <w:docVar w:name="trc_EPSGR" w:val="0.22"/>
    <w:docVar w:name="trc_EPSGR_P" w:val="NULL"/>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NULL"/>
    <w:docVar w:name="trc_FtNote3" w:val="NULL"/>
    <w:docVar w:name="trc_FtNote4" w:val="NULL"/>
    <w:docVar w:name="trc_FYEnd" w:val="Dec"/>
    <w:docVar w:name="trc_FYEnd_p" w:val="Dec"/>
    <w:docVar w:name="trc_FYEndMonthIndex" w:val="12"/>
    <w:docVar w:name="trc_headline" w:val="ILA: Initiating Coverage of a Pure-Play Energy Merchant"/>
    <w:docVar w:name="trc_headline_display" w:val="Initiating Coverage of a Pure-Play Energy Merchant"/>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DropCoverage" w:val="False"/>
    <w:docVar w:name="trc_IsEstimateChange" w:val="False"/>
    <w:docVar w:name="trc_IsNewCoverage" w:val="True"/>
    <w:docVar w:name="trc_IsRatingChange" w:val="False"/>
    <w:docVar w:name="trc_IsTargetChange" w:val="False"/>
    <w:docVar w:name="trc_IsThesis" w:val="True"/>
    <w:docVar w:name="trc_LastActualQuarte" w:val="Q1"/>
    <w:docVar w:name="trc_ltepsgrowth" w:val="NULL"/>
    <w:docVar w:name="trc_MCDate" w:val="05/21/2001 8:00:00 AM"/>
    <w:docVar w:name="trc_MKTCAP" w:val="3173.6"/>
    <w:docVar w:name="trc_MktCap_U" w:val="mil."/>
    <w:docVar w:name="trc_morningcall" w:val="True"/>
    <w:docVar w:name="trc_OPTIONS" w:val="NULL"/>
    <w:docVar w:name="trc_Other51" w:val="NULL"/>
    <w:docVar w:name="trc_Other52" w:val="NULL"/>
    <w:docVar w:name="trc_Other53" w:val="NULL"/>
    <w:docVar w:name="trc_Other54" w:val="NULL"/>
    <w:docVar w:name="trc_OtherCompanies" w:val="UCU,ENE,DYN,DUK,EPG,WMB"/>
    <w:docVar w:name="trc_OtherIndustryIDs" w:val="NULL"/>
    <w:docVar w:name="trc_Pages" w:val="8"/>
    <w:docVar w:name="trc_PRICEDATE" w:val="05/17/2001"/>
    <w:docVar w:name="trc_priority" w:val="2"/>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1"/>
    <w:docVar w:name="trc_RATING_P" w:val="N"/>
    <w:docVar w:name="trc_RATINGDATE" w:val="NULL"/>
    <w:docVar w:name="trc_RATINGDESC" w:val="Buy"/>
    <w:docVar w:name="trc_RatingID" w:val="1"/>
    <w:docVar w:name="trc_releasedate" w:val="05/21/2001 6:00:00 AM"/>
    <w:docVar w:name="trc_Risk" w:val="H"/>
    <w:docVar w:name="trc_Risk_P" w:val="A"/>
    <w:docVar w:name="trc_RISKDESC" w:val="High Risk"/>
    <w:docVar w:name="trc_RiskID" w:val="13"/>
    <w:docVar w:name="trc_SecurityID" w:val="NULL"/>
    <w:docVar w:name="trc_SharesOut" w:val="97.5"/>
    <w:docVar w:name="trc_SharesOut_U" w:val="mil."/>
    <w:docVar w:name="trc_StatusMark" w:val="NONE"/>
    <w:docVar w:name="trc_SubjectIDs" w:val="INI"/>
    <w:docVar w:name="trc_submitter" w:val="bm58212"/>
    <w:docVar w:name="trc_submittername" w:val="Benjamin Morton"/>
    <w:docVar w:name="trc_submitterphone" w:val="212-816-2086"/>
    <w:docVar w:name="trc_target" w:val="44.00"/>
    <w:docVar w:name="trc_target_P" w:val="NULL"/>
    <w:docVar w:name="trc_TemplateID" w:val="2"/>
    <w:docVar w:name="trc_TEV" w:val="NULL"/>
    <w:docVar w:name="trc_TEV_u" w:val="mil."/>
    <w:docVar w:name="trc_Thesis" w:val="We initiate coverage of Aquila, Inc. with a 1H (Buy, High Risk) rating and a 12-month price target of $44.  Aquila is a pure-play Energy Merchant, leveraging their strong trading and risk management skills in the rapidly growing energy markets.  Aquila was an early mover into these deregulating markets, and has shown strong traction over recent years, which we believe is sustainable in the long-term.  We suggest a 20-25% growth rate for ILA driven by the robust wholesale energy industry growth outlook and the potential for successful expansion into new commodities and geographies.  At a 2002 0.7x P/E-to-growth (PEG) ratio, ILA is trading at a significant discount to their Energy Merchant peer average of 1.0x..  Based on their strong track record and potential for industry-leading earnings growth, we place a PEG value on ILA of 1.0x 2002 earnings, leading to our $44 price target."/>
    <w:docVar w:name="trc_ticker" w:val="ILA"/>
    <w:docVar w:name="trc_Ticker_P" w:val="ILA:"/>
    <w:docVar w:name="trc_Version" w:val="1"/>
    <w:docVar w:name="trc_WkRng52Hi" w:val="31.30"/>
    <w:docVar w:name="trc_WkRng52Low" w:val="27.85"/>
    <w:docVar w:name="trc_y1" w:val="2000"/>
    <w:docVar w:name="trc_Y1CONSEPS" w:val="NULL"/>
    <w:docVar w:name="trc_y1q1" w:val="0.13"/>
    <w:docVar w:name="trc_y1q1AE" w:val="A"/>
    <w:docVar w:name="trc_y1q2" w:val="0.27"/>
    <w:docVar w:name="trc_y1q2AE" w:val="A"/>
    <w:docVar w:name="trc_y1q3" w:val="0.25"/>
    <w:docVar w:name="trc_y1q3AE" w:val="A"/>
    <w:docVar w:name="trc_y1q4" w:val="0.50"/>
    <w:docVar w:name="trc_y1q4AE" w:val="A"/>
    <w:docVar w:name="trc_y1Total" w:val="1.14"/>
    <w:docVar w:name="trc_y1TotalAE" w:val="A"/>
    <w:docVar w:name="trc_y2" w:val="2001"/>
    <w:docVar w:name="trc_Y2BVPS" w:val="7.33"/>
    <w:docVar w:name="trc_y2CommonEQ" w:val="715.0"/>
    <w:docVar w:name="trc_y2CommonEQ_U" w:val="mil."/>
    <w:docVar w:name="trc_Y2CONSEPS" w:val="NULL"/>
    <w:docVar w:name="trc_Y2CONSEPS_p" w:val="NULL"/>
    <w:docVar w:name="trc_Y2DIVYIELD" w:val="NULL"/>
    <w:docVar w:name="trc_y2DPS" w:val="NULL"/>
    <w:docVar w:name="trc_y2EBITDA" w:val="335.0"/>
    <w:docVar w:name="trc_y2EBITDA_u" w:val="mil."/>
    <w:docVar w:name="trc_Y2EVTOEBITDA" w:val="NULL"/>
    <w:docVar w:name="trc_Y2LTDCAP" w:val="0.018"/>
    <w:docVar w:name="trc_y2LTDEBT" w:val="13.0"/>
    <w:docVar w:name="trc_y2LTDEBT_U" w:val="mil."/>
    <w:docVar w:name="trc_Y2PE" w:val="19.7"/>
    <w:docVar w:name="trc_Y2PRICETOBOOK" w:val="4.4"/>
    <w:docVar w:name="trc_y2q1" w:val="0.57"/>
    <w:docVar w:name="trc_y2q1_P" w:val="NULL"/>
    <w:docVar w:name="trc_Y2Q1ae" w:val="A"/>
    <w:docVar w:name="trc_y2q1AE_p" w:val="E"/>
    <w:docVar w:name="trc_y2q2" w:val="0.39"/>
    <w:docVar w:name="trc_y2q2_P" w:val="NULL"/>
    <w:docVar w:name="trc_Y2Q2ae" w:val="E"/>
    <w:docVar w:name="trc_y2q2AE_p" w:val="E"/>
    <w:docVar w:name="trc_y2q3" w:val="0.33"/>
    <w:docVar w:name="trc_y2q3_P" w:val="NULL"/>
    <w:docVar w:name="trc_Y2Q3ae" w:val="E"/>
    <w:docVar w:name="trc_y2q3AE_p" w:val="E"/>
    <w:docVar w:name="trc_y2q4" w:val="0.39"/>
    <w:docVar w:name="trc_y2q4_P" w:val="NULL"/>
    <w:docVar w:name="trc_Y2Q4ae" w:val="E"/>
    <w:docVar w:name="trc_y2q4AE_p" w:val="E"/>
    <w:docVar w:name="trc_y2REVENUE" w:val="42222.0"/>
    <w:docVar w:name="trc_y2REVENUE_U" w:val="mil."/>
    <w:docVar w:name="trc_y2ROE" w:val="0.328"/>
    <w:docVar w:name="trc_y2Total" w:val="1.65"/>
    <w:docVar w:name="trc_y2Total_p" w:val="NULL"/>
    <w:docVar w:name="trc_Y2Totalae" w:val="E"/>
    <w:docVar w:name="trc_y2TotalAE_p" w:val="E"/>
    <w:docVar w:name="trc_y3" w:val="2002"/>
    <w:docVar w:name="trc_Y3CONSEPS" w:val="NULL"/>
    <w:docVar w:name="trc_Y3CONSEPS_p" w:val="NULL"/>
    <w:docVar w:name="trc_y3EBITDA" w:val="404.0"/>
    <w:docVar w:name="trc_y3EBITDA_U" w:val="mil."/>
    <w:docVar w:name="trc_Y3EVTOEBITDA" w:val="NULL"/>
    <w:docVar w:name="trc_Y3PE" w:val="16.3"/>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2.00"/>
    <w:docVar w:name="trc_y3Total_p" w:val="NULL"/>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paragraph" w:styleId="Heading2">
    <w:name w:val="heading 2"/>
    <w:basedOn w:val="Normal"/>
    <w:next w:val="Normal"/>
    <w:qFormat/>
    <w:pPr>
      <w:keepNext w:val="true"/>
      <w:numPr>
        <w:ilvl w:val="1"/>
        <w:numId w:val="1"/>
      </w:numPr>
      <w:pBdr>
        <w:top w:val="single" w:sz="6" w:space="1" w:color="000000"/>
        <w:left w:val="single" w:sz="36" w:space="1" w:color="000000"/>
      </w:pBdr>
      <w:spacing w:lineRule="exact" w:line="240" w:before="150" w:after="40"/>
      <w:outlineLvl w:val="1"/>
    </w:pPr>
    <w:rPr>
      <w:rFonts w:ascii="Helvetica Black" w:hAnsi="Helvetica Black" w:cs="Helvetica Black"/>
      <w:color w:val="000000"/>
      <w:kern w:val="0"/>
      <w:position w:val="-3"/>
      <w:sz w:val="24"/>
    </w:rPr>
  </w:style>
  <w:style w:type="paragraph" w:styleId="Heading3">
    <w:name w:val="heading 3"/>
    <w:basedOn w:val="Normal"/>
    <w:next w:val="Normal"/>
    <w:qFormat/>
    <w:pPr>
      <w:keepNext w:val="true"/>
      <w:numPr>
        <w:ilvl w:val="2"/>
        <w:numId w:val="1"/>
      </w:numPr>
      <w:spacing w:lineRule="atLeast" w:line="280" w:before="40" w:after="0"/>
      <w:outlineLvl w:val="2"/>
    </w:pPr>
    <w:rPr>
      <w:rFonts w:ascii="Helvetica Black" w:hAnsi="Helvetica Black" w:cs="Helvetica Black"/>
      <w:color w:val="000000"/>
      <w:kern w:val="0"/>
      <w:sz w:val="20"/>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WW8NumSt14z0">
    <w:name w:val="WW8NumSt14z0"/>
    <w:qFormat/>
    <w:rPr>
      <w:rFonts w:ascii="ZapfDingbats" w:hAnsi="ZapfDingbats" w:cs="ZapfDingbats"/>
      <w:color w:val="000000"/>
      <w:sz w:val="26"/>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character" w:styleId="FootnoteCharacters">
    <w:name w:val="Footnote Characters"/>
    <w:basedOn w:val="DefaultParagraphFont"/>
    <w:qFormat/>
    <w:rPr>
      <w:vertAlign w:val="superscript"/>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next w:val="Normal"/>
    <w:qFormat/>
    <w:pPr>
      <w:pBdr>
        <w:top w:val="single" w:sz="6" w:space="1" w:color="000000"/>
        <w:bottom w:val="single" w:sz="6" w:space="1" w:color="000000"/>
      </w:pBdr>
      <w:spacing w:lineRule="atLeast" w:line="220" w:before="40" w:after="80"/>
    </w:pPr>
    <w:rPr>
      <w:rFonts w:ascii="HelveticaNeue Condensed" w:hAnsi="HelveticaNeue Condensed" w:cs="HelveticaNeue Condensed"/>
      <w:b/>
      <w:color w:val="000000"/>
      <w:kern w:val="0"/>
      <w:sz w:val="1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2"/>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FrontBullet">
    <w:name w:val="Front Bullet"/>
    <w:basedOn w:val="Normal"/>
    <w:qFormat/>
    <w:pPr>
      <w:numPr>
        <w:ilvl w:val="0"/>
        <w:numId w:val="2"/>
      </w:numPr>
      <w:spacing w:lineRule="atLeast" w:line="340" w:before="200" w:after="0"/>
    </w:pPr>
    <w:rPr>
      <w:rFonts w:ascii="Helvetica Black" w:hAnsi="Helvetica Black" w:cs="Helvetica Black"/>
      <w:color w:val="000000"/>
      <w:kern w:val="0"/>
      <w:sz w:val="24"/>
    </w:rPr>
  </w:style>
  <w:style w:type="paragraph" w:styleId="Heading1Bullet">
    <w:name w:val="Heading 1 Bullet"/>
    <w:basedOn w:val="Normal"/>
    <w:qFormat/>
    <w:pPr>
      <w:numPr>
        <w:ilvl w:val="0"/>
        <w:numId w:val="3"/>
      </w:numPr>
      <w:spacing w:lineRule="atLeast" w:line="280" w:before="0" w:after="180"/>
      <w:ind w:hanging="0" w:start="0" w:end="193"/>
    </w:pPr>
    <w:rPr>
      <w:rFonts w:ascii="HELVETICA" w:hAnsi="HELVETICA" w:cs="HELVETICA"/>
      <w:b/>
      <w:color w:val="000000"/>
      <w:spacing w:val="2"/>
      <w:kern w:val="0"/>
      <w:sz w:val="20"/>
    </w:rPr>
  </w:style>
  <w:style w:type="paragraph" w:styleId="Boxspace">
    <w:name w:val="Box space"/>
    <w:basedOn w:val="Normal"/>
    <w:next w:val="Normal"/>
    <w:qFormat/>
    <w:pPr>
      <w:spacing w:lineRule="exact" w:line="280"/>
    </w:pPr>
    <w:rPr>
      <w:rFonts w:ascii="TIMES" w:hAnsi="TIMES" w:cs="TIMES"/>
      <w:color w:val="000000"/>
      <w:kern w:val="0"/>
      <w:sz w:val="12"/>
    </w:rPr>
  </w:style>
  <w:style w:type="paragraph" w:styleId="FootnoteText">
    <w:name w:val="footnote text"/>
    <w:basedOn w:val="Normal"/>
    <w:pPr>
      <w:spacing w:lineRule="atLeast" w:line="160" w:before="0" w:after="120"/>
    </w:pPr>
    <w:rPr>
      <w:rFonts w:ascii="TIMES" w:hAnsi="TIMES" w:cs="TIMES"/>
      <w:color w:val="000000"/>
      <w:kern w:val="0"/>
      <w:sz w:val="14"/>
    </w:rPr>
  </w:style>
  <w:style w:type="paragraph" w:styleId="HangingText">
    <w:name w:val="Hanging Text"/>
    <w:basedOn w:val="Normal"/>
    <w:next w:val="Normal"/>
    <w:qFormat/>
    <w:pPr>
      <w:spacing w:lineRule="atLeast" w:line="220" w:before="0" w:after="120"/>
      <w:jc w:val="end"/>
    </w:pPr>
    <w:rPr>
      <w:rFonts w:ascii="HELVETICA" w:hAnsi="HELVETICA" w:cs="HELVETICA"/>
      <w:b/>
      <w:i/>
      <w:color w:val="000000"/>
      <w:spacing w:val="2"/>
      <w:kern w:val="0"/>
      <w:sz w:val="16"/>
    </w:rPr>
  </w:style>
  <w:style w:type="paragraph" w:styleId="Source">
    <w:name w:val="Source"/>
    <w:basedOn w:val="Normal"/>
    <w:next w:val="Normal"/>
    <w:qFormat/>
    <w:pPr>
      <w:spacing w:lineRule="exact" w:line="200" w:before="20" w:after="160"/>
    </w:pPr>
    <w:rPr>
      <w:rFonts w:ascii="HelveticaNeue Condensed" w:hAnsi="HelveticaNeue Condensed" w:cs="HelveticaNeue Condensed"/>
      <w:color w:val="000000"/>
      <w:kern w:val="0"/>
      <w:sz w:val="14"/>
    </w:rPr>
  </w:style>
  <w:style w:type="paragraph" w:styleId="SubCap">
    <w:name w:val="SubCap"/>
    <w:basedOn w:val="Normal"/>
    <w:next w:val="Normal"/>
    <w:qFormat/>
    <w:pPr>
      <w:spacing w:lineRule="exact" w:line="160" w:before="0" w:after="240"/>
      <w:jc w:val="both"/>
    </w:pPr>
    <w:rPr>
      <w:rFonts w:ascii="HelveticaNeue Condensed" w:hAnsi="HelveticaNeue Condensed" w:cs="HelveticaNeue Condensed"/>
      <w:b/>
      <w:kern w:val="0"/>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2001-05-21T07:55:00Z</dcterms:created>
  <dc:creator>Benjamin Morton</dc:creator>
  <dc:description/>
  <dc:language>en-CA</dc:language>
  <cp:lastModifiedBy>SSMB</cp:lastModifiedBy>
  <cp:lastPrinted>2001-05-18T15:11:00Z</cp:lastPrinted>
  <dcterms:modified xsi:type="dcterms:W3CDTF">2001-05-21T07:55:00Z</dcterms:modified>
  <cp:revision>2</cp:revision>
  <dc:subject/>
  <dc:title>ILA_20010518_1</dc:title>
</cp:coreProperties>
</file>