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rPr>
      </w:pPr>
      <w:r>
        <w:rPr>
          <w:spacing w:val="-140"/>
          <w:sz w:val="72"/>
        </w:rPr>
        <w:drawing>
          <wp:inline distT="0" distB="0" distL="0" distR="0">
            <wp:extent cx="5478780" cy="707390"/>
            <wp:effectExtent l="0" t="0" r="0" b="0"/>
            <wp:docPr id="1" name="IEPA%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A%20logo" descr="" title=""/>
                    <pic:cNvPicPr>
                      <a:picLocks noChangeAspect="1" noChangeArrowheads="1"/>
                    </pic:cNvPicPr>
                  </pic:nvPicPr>
                  <pic:blipFill>
                    <a:blip r:embed="rId2"/>
                    <a:srcRect l="-5" t="-39" r="-5" b="-39"/>
                    <a:stretch>
                      <a:fillRect/>
                    </a:stretch>
                  </pic:blipFill>
                  <pic:spPr bwMode="auto">
                    <a:xfrm>
                      <a:off x="0" y="0"/>
                      <a:ext cx="5478780" cy="707390"/>
                    </a:xfrm>
                    <a:prstGeom prst="rect">
                      <a:avLst/>
                    </a:prstGeom>
                    <a:noFill/>
                  </pic:spPr>
                </pic:pic>
              </a:graphicData>
            </a:graphic>
          </wp:inline>
        </w:drawing>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To:</w:t>
        <w:tab/>
        <w:tab/>
        <w:t>IEP Public Affairs Committee</w:t>
      </w:r>
    </w:p>
    <w:p>
      <w:pPr>
        <w:pStyle w:val="BodyText"/>
        <w:rPr>
          <w:rFonts w:ascii="Arial" w:hAnsi="Arial" w:cs="Arial"/>
        </w:rPr>
      </w:pPr>
      <w:r>
        <w:rPr>
          <w:rFonts w:cs="Arial" w:ascii="Arial" w:hAnsi="Arial"/>
        </w:rPr>
        <w:t>From:</w:t>
        <w:tab/>
        <w:tab/>
        <w:t>Katie Kaplan, IEP</w:t>
      </w:r>
    </w:p>
    <w:p>
      <w:pPr>
        <w:pStyle w:val="BodyText"/>
        <w:rPr>
          <w:rFonts w:ascii="Arial" w:hAnsi="Arial" w:cs="Arial"/>
        </w:rPr>
      </w:pPr>
      <w:r>
        <w:rPr>
          <w:rFonts w:cs="Arial" w:ascii="Arial" w:hAnsi="Arial"/>
        </w:rPr>
        <w:tab/>
        <w:tab/>
        <w:t>Jean Munoz, MTA</w:t>
      </w:r>
    </w:p>
    <w:p>
      <w:pPr>
        <w:pStyle w:val="BodyText"/>
        <w:rPr>
          <w:rFonts w:ascii="Arial" w:hAnsi="Arial" w:cs="Arial"/>
        </w:rPr>
      </w:pPr>
      <w:r>
        <w:rPr>
          <w:rFonts w:cs="Arial" w:ascii="Arial" w:hAnsi="Arial"/>
        </w:rPr>
        <w:t>Date:</w:t>
        <w:tab/>
        <w:tab/>
        <w:t>April 4, 2001</w:t>
      </w:r>
    </w:p>
    <w:p>
      <w:pPr>
        <w:pStyle w:val="BodyText"/>
        <w:rPr>
          <w:rFonts w:ascii="Arial" w:hAnsi="Arial" w:cs="Arial"/>
        </w:rPr>
      </w:pPr>
      <w:r>
        <w:rPr>
          <w:rFonts w:cs="Arial" w:ascii="Arial" w:hAnsi="Arial"/>
        </w:rPr>
        <w:t>RE:</w:t>
        <w:tab/>
        <w:tab/>
        <w:t>Preparation Materials</w:t>
      </w:r>
    </w:p>
    <w:p>
      <w:pPr>
        <w:pStyle w:val="BodyText"/>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123190</wp:posOffset>
                </wp:positionV>
                <wp:extent cx="5829300" cy="0"/>
                <wp:effectExtent l="0" t="5080" r="0" b="5080"/>
                <wp:wrapNone/>
                <wp:docPr id="2" name=""/>
                <a:graphic xmlns:a="http://schemas.openxmlformats.org/drawingml/2006/main">
                  <a:graphicData uri="http://schemas.microsoft.com/office/word/2010/wordprocessingShape">
                    <wps:wsp>
                      <wps:cNvSpPr/>
                      <wps:spPr>
                        <a:xfrm>
                          <a:off x="0" y="0"/>
                          <a:ext cx="582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9.7pt" to="458.95pt,9.7pt" stroked="t" o:allowincell="f" style="position:absolute">
                <v:stroke color="black" weight="9360" joinstyle="miter" endcap="flat"/>
                <v:fill o:detectmouseclick="t" on="false"/>
                <w10:wrap type="none"/>
              </v:line>
            </w:pict>
          </mc:Fallback>
        </mc:AlternateContent>
      </w:r>
    </w:p>
    <w:p>
      <w:pPr>
        <w:pStyle w:val="BodyText"/>
        <w:rPr>
          <w:rFonts w:ascii="Arial" w:hAnsi="Arial" w:cs="Arial"/>
        </w:rPr>
      </w:pPr>
      <w:r>
        <w:rPr>
          <w:rFonts w:cs="Arial" w:ascii="Arial" w:hAnsi="Arial"/>
        </w:rPr>
      </w:r>
    </w:p>
    <w:p>
      <w:pPr>
        <w:pStyle w:val="BodyText"/>
        <w:rPr/>
      </w:pPr>
      <w:r>
        <w:rPr>
          <w:rFonts w:cs="Arial" w:ascii="Arial" w:hAnsi="Arial"/>
          <w:b w:val="false"/>
          <w:bCs w:val="false"/>
        </w:rPr>
        <w:t xml:space="preserve">As many of you are aware the Dunn Hearings will begin next week in conjunction with the Ose hearings.  We will give a complete update on the call. Below please find a comprehensive list of what needs to be done </w:t>
      </w:r>
      <w:r>
        <w:rPr>
          <w:rFonts w:cs="Arial" w:ascii="Arial" w:hAnsi="Arial"/>
        </w:rPr>
        <w:t>before</w:t>
      </w:r>
      <w:r>
        <w:rPr>
          <w:rFonts w:cs="Arial" w:ascii="Arial" w:hAnsi="Arial"/>
          <w:b w:val="false"/>
          <w:bCs w:val="false"/>
        </w:rPr>
        <w:t xml:space="preserve"> the upcoming hearings.  As the hearings now are much closer than we originally anticipated, it is crucial that IEP put itself in a proactive role as much as possible in response to the upcoming hearings. Please do all that you can to respond to the below requests ASAP.  Thank you!</w:t>
      </w:r>
    </w:p>
    <w:p>
      <w:pPr>
        <w:pStyle w:val="BodyText"/>
        <w:rPr>
          <w:rFonts w:ascii="Arial" w:hAnsi="Arial" w:cs="Arial"/>
          <w:b w:val="false"/>
          <w:bCs w:val="false"/>
        </w:rPr>
      </w:pPr>
      <w:r>
        <w:rPr>
          <w:rFonts w:cs="Arial" w:ascii="Arial" w:hAnsi="Arial"/>
          <w:b w:val="false"/>
          <w:bCs w:val="false"/>
        </w:rPr>
      </w:r>
    </w:p>
    <w:p>
      <w:pPr>
        <w:pStyle w:val="BodyText"/>
        <w:rPr/>
      </w:pPr>
      <w:r>
        <w:rPr>
          <w:rFonts w:cs="Arial" w:ascii="Arial" w:hAnsi="Arial"/>
          <w:u w:val="single"/>
        </w:rPr>
        <w:t>IEP KEY MESSAGES</w:t>
      </w:r>
      <w:r>
        <w:rPr>
          <w:rFonts w:cs="Arial" w:ascii="Arial" w:hAnsi="Arial"/>
        </w:rPr>
        <w:br/>
        <w:br/>
        <w:t>Generators have been operating under the rules California established for its electricity market.  We did not create the market, nor did we write the rules.  In fact, the "big five" generators did not come to California until AB 1890 invited them into the state, where they’ve since invested billions of dollars buying, building and modernizing power plants.</w:t>
        <w:br/>
      </w:r>
    </w:p>
    <w:p>
      <w:pPr>
        <w:pStyle w:val="Normal"/>
        <w:numPr>
          <w:ilvl w:val="0"/>
          <w:numId w:val="13"/>
        </w:numPr>
        <w:rPr>
          <w:rFonts w:ascii="Arial" w:hAnsi="Arial" w:cs="Arial"/>
        </w:rPr>
      </w:pPr>
      <w:r>
        <w:rPr>
          <w:rFonts w:cs="Arial" w:ascii="Arial" w:hAnsi="Arial"/>
        </w:rPr>
        <w:t>Energy companies, independent financial analysts and IEP warned that the PUC was failing to implement AB 1890 properly, and that the market was being set up to fail, especially the residential market.</w:t>
      </w:r>
    </w:p>
    <w:p>
      <w:pPr>
        <w:pStyle w:val="Normal"/>
        <w:numPr>
          <w:ilvl w:val="0"/>
          <w:numId w:val="13"/>
        </w:numPr>
        <w:rPr>
          <w:rFonts w:ascii="Arial" w:hAnsi="Arial" w:cs="Arial"/>
        </w:rPr>
      </w:pPr>
      <w:r>
        <w:rPr>
          <w:rFonts w:cs="Arial" w:ascii="Arial" w:hAnsi="Arial"/>
        </w:rPr>
        <w:t>Last summer, generators were urging and offering long-term contacts. They were flatly rejected.  Had they been adopted, the crisis could have been prevented or its severity dramatically lessened.</w:t>
      </w:r>
    </w:p>
    <w:p>
      <w:pPr>
        <w:pStyle w:val="Normal"/>
        <w:numPr>
          <w:ilvl w:val="0"/>
          <w:numId w:val="13"/>
        </w:numPr>
        <w:rPr>
          <w:rFonts w:ascii="Arial" w:hAnsi="Arial" w:cs="Arial"/>
        </w:rPr>
      </w:pPr>
      <w:r>
        <w:rPr>
          <w:rFonts w:cs="Arial" w:ascii="Arial" w:hAnsi="Arial"/>
        </w:rPr>
        <w:t>This crisis was caused by three things ‹ the failure to enter into long-term contracts, forcing an over-reliance on the spot market; a supply shortage, and no retail market.  The market can be fixed.  It should not be abandoned.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bCs/>
        </w:rPr>
        <w:t>We’re an important part of the solution.</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We¹ve made extraordinary efforts to keep our plants running during this crisis to supply California homes and businesses with electricity.</w:t>
      </w:r>
    </w:p>
    <w:p>
      <w:pPr>
        <w:pStyle w:val="Normal"/>
        <w:numPr>
          <w:ilvl w:val="0"/>
          <w:numId w:val="13"/>
        </w:numPr>
        <w:rPr>
          <w:rFonts w:ascii="Arial" w:hAnsi="Arial" w:cs="Arial"/>
        </w:rPr>
      </w:pPr>
      <w:r>
        <w:rPr>
          <w:rFonts w:cs="Arial" w:ascii="Arial" w:hAnsi="Arial"/>
        </w:rPr>
        <w:t xml:space="preserve">We¹ve offered solutions and been cooperative partners in legislative and regulatory efforts to end the crisis. </w:t>
      </w:r>
    </w:p>
    <w:p>
      <w:pPr>
        <w:pStyle w:val="Normal"/>
        <w:numPr>
          <w:ilvl w:val="0"/>
          <w:numId w:val="13"/>
        </w:numPr>
        <w:rPr>
          <w:rFonts w:ascii="Arial" w:hAnsi="Arial" w:cs="Arial"/>
        </w:rPr>
      </w:pPr>
      <w:r>
        <w:rPr>
          <w:rFonts w:cs="Arial" w:ascii="Arial" w:hAnsi="Arial"/>
        </w:rPr>
        <w:t xml:space="preserve">Rather than using tax money, we¹re investing billions of private-sector dollars to buy, modernize and build new power plants in California ‹ to generate electricity </w:t>
      </w:r>
      <w:r>
        <w:rPr>
          <w:rFonts w:cs="Arial" w:ascii="Arial" w:hAnsi="Arial"/>
          <w:u w:val="single"/>
        </w:rPr>
        <w:t>for</w:t>
      </w:r>
      <w:r>
        <w:rPr>
          <w:rFonts w:cs="Arial" w:ascii="Arial" w:hAnsi="Arial"/>
        </w:rPr>
        <w:t xml:space="preserve"> California. </w:t>
      </w:r>
    </w:p>
    <w:p>
      <w:pPr>
        <w:pStyle w:val="Normal"/>
        <w:numPr>
          <w:ilvl w:val="0"/>
          <w:numId w:val="13"/>
        </w:numPr>
        <w:rPr>
          <w:rFonts w:ascii="Arial" w:hAnsi="Arial" w:cs="Arial"/>
        </w:rPr>
      </w:pPr>
      <w:r>
        <w:rPr>
          <w:rFonts w:cs="Arial" w:ascii="Arial" w:hAnsi="Arial"/>
        </w:rPr>
        <w:t>Our new and upgraded power plants will help improve California¹s air quality and generate power more efficiently.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bCs/>
        </w:rPr>
        <w:t>We’re hopeful that these hearing focus on facts, fairness and accountability.</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"Witch hunts," "scape-goating" and sensational headlines won¹t solve the problem or end the crisis.</w:t>
      </w:r>
    </w:p>
    <w:p>
      <w:pPr>
        <w:pStyle w:val="Heading1"/>
        <w:ind w:hanging="0" w:start="0"/>
        <w:rPr>
          <w:rFonts w:ascii="Arial" w:hAnsi="Arial" w:cs="Arial"/>
        </w:rPr>
      </w:pPr>
      <w:r>
        <w:rPr>
          <w:rFonts w:cs="Arial" w:ascii="Arial" w:hAnsi="Arial"/>
        </w:rPr>
      </w:r>
    </w:p>
    <w:p>
      <w:pPr>
        <w:pStyle w:val="Heading1"/>
        <w:ind w:hanging="0" w:start="0"/>
        <w:rPr/>
      </w:pPr>
      <w:r>
        <w:rPr>
          <w:rFonts w:cs="Arial" w:ascii="Arial" w:hAnsi="Arial"/>
          <w:u w:val="single"/>
        </w:rPr>
        <w:t>Action Items</w:t>
      </w:r>
      <w:r>
        <w:rPr>
          <w:rFonts w:cs="Arial" w:ascii="Arial" w:hAnsi="Arial"/>
          <w:b w:val="false"/>
          <w:bCs w:val="false"/>
          <w:i/>
          <w:iCs/>
          <w:u w:val="single"/>
        </w:rPr>
        <w:br/>
      </w:r>
      <w:r>
        <w:rPr>
          <w:rFonts w:cs="Arial" w:ascii="Arial" w:hAnsi="Arial"/>
          <w:b w:val="false"/>
          <w:bCs w:val="false"/>
        </w:rPr>
        <w:br/>
        <w:t>€  List of anticipated questions from media and legislators</w:t>
        <w:br/>
        <w:t>€  Timeline of previous long term contract offers that were not accepted</w:t>
        <w:br/>
        <w:t>€  History of correspondence/contact with governor, legislators etc.</w:t>
        <w:br/>
        <w:t>€  Outage standards report</w:t>
        <w:br/>
      </w:r>
      <w:r>
        <w:rPr>
          <w:rFonts w:cs="Arial" w:ascii="Arial" w:hAnsi="Arial"/>
        </w:rPr>
        <w:br/>
      </w:r>
      <w:r>
        <w:rPr>
          <w:rFonts w:cs="Arial" w:ascii="Arial" w:hAnsi="Arial"/>
          <w:u w:val="single"/>
        </w:rPr>
        <w:t>"Vintage Power Plant" Distribution Series</w:t>
      </w:r>
      <w:r>
        <w:rPr>
          <w:rFonts w:cs="Arial" w:ascii="Arial" w:hAnsi="Arial"/>
          <w:b w:val="false"/>
          <w:bCs w:val="false"/>
          <w:u w:val="single"/>
        </w:rPr>
        <w:br/>
      </w:r>
      <w:r>
        <w:rPr>
          <w:rFonts w:cs="Arial" w:ascii="Arial" w:hAnsi="Arial"/>
        </w:rPr>
        <w:br/>
      </w:r>
      <w:r>
        <w:rPr>
          <w:rFonts w:cs="Arial" w:ascii="Arial" w:hAnsi="Arial"/>
          <w:b w:val="false"/>
          <w:bCs w:val="false"/>
        </w:rPr>
        <w:t xml:space="preserve">Using the information from the outage standards report we would like to develop a handout that portrays the </w:t>
      </w:r>
      <w:r>
        <w:rPr>
          <w:rFonts w:cs="Arial" w:ascii="Arial" w:hAnsi="Arial"/>
          <w:b w:val="false"/>
          <w:bCs w:val="false"/>
          <w:u w:val="single"/>
        </w:rPr>
        <w:t xml:space="preserve">heroic efforts being made at each power plant </w:t>
      </w:r>
      <w:r>
        <w:rPr>
          <w:rFonts w:cs="Arial" w:ascii="Arial" w:hAnsi="Arial"/>
          <w:b w:val="false"/>
          <w:bCs w:val="false"/>
        </w:rPr>
        <w:t xml:space="preserve">-- but in terms that people will relate to, for example: </w:t>
        <w:br/>
      </w:r>
      <w:r>
        <w:rPr>
          <w:rFonts w:cs="Arial" w:ascii="Arial" w:hAnsi="Arial"/>
          <w:b w:val="false"/>
          <w:bCs w:val="false"/>
          <w:i/>
          <w:iCs/>
        </w:rPr>
        <w:br/>
        <w:t>"Smutny's Power Plant  was built during the Korean War, the same year that the "Hudson Hornet" (car) was being sold, Patsy Cline was popular, and the Mickey Mouse club originated ... "   </w:t>
      </w:r>
      <w:r>
        <w:rPr>
          <w:rFonts w:cs="Arial" w:ascii="Arial" w:hAnsi="Arial"/>
          <w:b w:val="false"/>
          <w:bCs w:val="false"/>
        </w:rPr>
        <w:br/>
      </w:r>
    </w:p>
    <w:p>
      <w:pPr>
        <w:pStyle w:val="Normal"/>
        <w:rPr>
          <w:rFonts w:ascii="Arial" w:hAnsi="Arial" w:cs="Arial"/>
        </w:rPr>
      </w:pPr>
      <w:r>
        <w:rPr>
          <w:rFonts w:cs="Arial" w:ascii="Arial" w:hAnsi="Arial"/>
        </w:rPr>
        <w:t>Also needed is:</w:t>
      </w:r>
    </w:p>
    <w:p>
      <w:pPr>
        <w:pStyle w:val="Heading1"/>
        <w:ind w:hanging="0" w:start="0"/>
        <w:rPr/>
      </w:pPr>
      <w:r>
        <w:rPr>
          <w:rFonts w:cs="Arial" w:ascii="Arial" w:hAnsi="Arial"/>
          <w:b w:val="false"/>
          <w:bCs w:val="false"/>
        </w:rPr>
        <w:br/>
        <w:t>1.  Year power plant was built</w:t>
        <w:br/>
        <w:t>2.  Year power plant came online</w:t>
        <w:br/>
        <w:t>3.  Maximum output of each unit (p-max)</w:t>
        <w:br/>
        <w:t>4.  Historical operating data (for example, under the utility regime unit x historically ran at "x" mw hours a year.  Under "Kaplan Power" unit x has run at "x" MW hours a year."</w:t>
        <w:br/>
        <w:t>5.  A comparison of your standards and those set by NERC</w:t>
        <w:br/>
        <w:t>6.  Total $$ invested in plant to maintain, re-power or improve</w:t>
        <w:br/>
        <w:t>7.  Union labor?  If so, who ...  IBEW?  Which unit?</w:t>
        <w:br/>
        <w:t>8.  Is your company involved in the local community?  Charitable giving?</w:t>
        <w:br/>
        <w:t>9.  Anecdotes that portray you and your power plant as a "HERO"  -- as opposed to a "PIRATE"</w:t>
        <w:br/>
        <w:t>10.  How many additional megawatts do you plan to have this summer?  Wh</w:t>
      </w:r>
      <w:r>
        <w:rPr>
          <w:b w:val="false"/>
          <w:bCs w:val="false"/>
        </w:rPr>
        <w:t>ere?</w:t>
      </w:r>
    </w:p>
    <w:p>
      <w:pPr>
        <w:pStyle w:val="Normal"/>
        <w:rPr>
          <w:b/>
          <w:bCs/>
        </w:rPr>
      </w:pPr>
      <w:r>
        <w:rPr>
          <w:b/>
          <w:bCs/>
        </w:rPr>
      </w:r>
    </w:p>
    <w:p>
      <w:pPr>
        <w:pStyle w:val="Normal"/>
        <w:rPr>
          <w:rFonts w:ascii="Arial" w:hAnsi="Arial" w:cs="Arial"/>
          <w:b/>
        </w:rPr>
      </w:pPr>
      <w:r>
        <w:rPr>
          <w:rFonts w:cs="Arial" w:ascii="Arial" w:hAnsi="Arial"/>
          <w:b/>
        </w:rPr>
        <w:t>Research</w:t>
      </w:r>
    </w:p>
    <w:p>
      <w:pPr>
        <w:pStyle w:val="Normal"/>
        <w:numPr>
          <w:ilvl w:val="0"/>
          <w:numId w:val="2"/>
        </w:numPr>
        <w:rPr>
          <w:rFonts w:ascii="Arial" w:hAnsi="Arial" w:cs="Arial"/>
        </w:rPr>
      </w:pPr>
      <w:r>
        <w:rPr>
          <w:rFonts w:cs="Arial" w:ascii="Arial" w:hAnsi="Arial"/>
        </w:rPr>
        <w:t xml:space="preserve">List of anticipated questions from media and legislators </w:t>
      </w:r>
    </w:p>
    <w:p>
      <w:pPr>
        <w:pStyle w:val="Normal"/>
        <w:ind w:firstLine="360" w:end="0"/>
        <w:rPr>
          <w:rFonts w:ascii="Arial" w:hAnsi="Arial" w:cs="Arial"/>
        </w:rPr>
      </w:pPr>
      <w:r>
        <w:rPr>
          <w:rFonts w:cs="Arial" w:ascii="Arial" w:hAnsi="Arial"/>
        </w:rPr>
        <w:t>Assigned to: “big five” generators</w:t>
      </w:r>
    </w:p>
    <w:p>
      <w:pPr>
        <w:pStyle w:val="Normal"/>
        <w:numPr>
          <w:ilvl w:val="0"/>
          <w:numId w:val="7"/>
        </w:numPr>
        <w:rPr>
          <w:rFonts w:ascii="Arial" w:hAnsi="Arial" w:cs="Arial"/>
        </w:rPr>
      </w:pPr>
      <w:r>
        <w:rPr>
          <w:rFonts w:cs="Arial" w:ascii="Arial" w:hAnsi="Arial"/>
        </w:rPr>
        <w:t>Suggested responses</w:t>
      </w:r>
    </w:p>
    <w:p>
      <w:pPr>
        <w:pStyle w:val="Normal"/>
        <w:ind w:firstLine="360" w:end="0"/>
        <w:rPr>
          <w:rFonts w:ascii="Arial" w:hAnsi="Arial" w:cs="Arial"/>
        </w:rPr>
      </w:pPr>
      <w:r>
        <w:rPr>
          <w:rFonts w:cs="Arial" w:ascii="Arial" w:hAnsi="Arial"/>
        </w:rPr>
        <w:t>Assigned to: IEP/MTA</w:t>
      </w:r>
    </w:p>
    <w:p>
      <w:pPr>
        <w:pStyle w:val="Normal"/>
        <w:numPr>
          <w:ilvl w:val="0"/>
          <w:numId w:val="2"/>
        </w:numPr>
        <w:rPr>
          <w:rFonts w:ascii="Arial" w:hAnsi="Arial" w:cs="Arial"/>
        </w:rPr>
      </w:pPr>
      <w:r>
        <w:rPr>
          <w:rFonts w:cs="Arial" w:ascii="Arial" w:hAnsi="Arial"/>
        </w:rPr>
        <w:t>Outage Standards (if you have not already done so)</w:t>
      </w:r>
    </w:p>
    <w:p>
      <w:pPr>
        <w:pStyle w:val="Normal"/>
        <w:ind w:firstLine="360" w:end="0"/>
        <w:rPr>
          <w:rFonts w:ascii="Arial" w:hAnsi="Arial" w:cs="Arial"/>
        </w:rPr>
      </w:pPr>
      <w:r>
        <w:rPr>
          <w:rFonts w:cs="Arial" w:ascii="Arial" w:hAnsi="Arial"/>
        </w:rPr>
        <w:t>Assigned to: “big five” generators</w:t>
      </w:r>
    </w:p>
    <w:p>
      <w:pPr>
        <w:pStyle w:val="Normal"/>
        <w:numPr>
          <w:ilvl w:val="0"/>
          <w:numId w:val="3"/>
        </w:numPr>
        <w:rPr>
          <w:rFonts w:ascii="Arial" w:hAnsi="Arial" w:cs="Arial"/>
        </w:rPr>
      </w:pPr>
      <w:r>
        <w:rPr>
          <w:rFonts w:cs="Arial" w:ascii="Arial" w:hAnsi="Arial"/>
        </w:rPr>
        <w:t xml:space="preserve">Previous long term contract offers that were not accepted timeline (details of contracts not required) </w:t>
      </w:r>
    </w:p>
    <w:p>
      <w:pPr>
        <w:pStyle w:val="Normal"/>
        <w:ind w:firstLine="360" w:end="0"/>
        <w:rPr>
          <w:rFonts w:ascii="Arial" w:hAnsi="Arial" w:cs="Arial"/>
        </w:rPr>
      </w:pPr>
      <w:r>
        <w:rPr>
          <w:rFonts w:cs="Arial" w:ascii="Arial" w:hAnsi="Arial"/>
        </w:rPr>
        <w:t>Assigned to: “big five” generators</w:t>
      </w:r>
    </w:p>
    <w:p>
      <w:pPr>
        <w:pStyle w:val="Normal"/>
        <w:ind w:firstLine="360" w:end="0"/>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History of correspondence/contact with Governor </w:t>
      </w:r>
    </w:p>
    <w:p>
      <w:pPr>
        <w:pStyle w:val="Normal"/>
        <w:ind w:firstLine="360" w:end="0"/>
        <w:rPr>
          <w:rFonts w:ascii="Arial" w:hAnsi="Arial" w:cs="Arial"/>
        </w:rPr>
      </w:pPr>
      <w:r>
        <w:rPr>
          <w:rFonts w:cs="Arial" w:ascii="Arial" w:hAnsi="Arial"/>
        </w:rPr>
        <w:t>Assigned to: “big five” generators</w:t>
      </w:r>
    </w:p>
    <w:p>
      <w:pPr>
        <w:pStyle w:val="Normal"/>
        <w:numPr>
          <w:ilvl w:val="0"/>
          <w:numId w:val="4"/>
        </w:numPr>
        <w:rPr>
          <w:rFonts w:ascii="Arial" w:hAnsi="Arial" w:cs="Arial"/>
        </w:rPr>
      </w:pPr>
      <w:r>
        <w:rPr>
          <w:rFonts w:cs="Arial" w:ascii="Arial" w:hAnsi="Arial"/>
        </w:rPr>
        <w:t>PUC preventing long-term contracts decision timeline</w:t>
      </w:r>
    </w:p>
    <w:p>
      <w:pPr>
        <w:pStyle w:val="Normal"/>
        <w:ind w:firstLine="360" w:end="0"/>
        <w:rPr/>
      </w:pPr>
      <w:r>
        <w:rPr>
          <w:rFonts w:cs="Arial" w:ascii="Arial" w:hAnsi="Arial"/>
        </w:rPr>
        <w:t xml:space="preserve">Assigned to: </w:t>
      </w:r>
      <w:r>
        <w:rPr>
          <w:rFonts w:cs="Arial" w:ascii="Arial" w:hAnsi="Arial"/>
          <w:color w:val="000000"/>
        </w:rPr>
        <w:t>Ellison, Schneider &amp; Harris</w:t>
      </w:r>
      <w:r>
        <w:rPr>
          <w:rFonts w:cs="Arial" w:ascii="Arial" w:hAnsi="Arial"/>
        </w:rPr>
        <w:t xml:space="preserve">/IEP </w:t>
      </w:r>
    </w:p>
    <w:p>
      <w:pPr>
        <w:pStyle w:val="Normal"/>
        <w:numPr>
          <w:ilvl w:val="0"/>
          <w:numId w:val="5"/>
        </w:numPr>
        <w:rPr>
          <w:rFonts w:ascii="Arial" w:hAnsi="Arial" w:cs="Arial"/>
        </w:rPr>
      </w:pPr>
      <w:r>
        <w:rPr>
          <w:rFonts w:cs="Arial" w:ascii="Arial" w:hAnsi="Arial"/>
        </w:rPr>
        <w:t>Research committee members</w:t>
      </w:r>
    </w:p>
    <w:p>
      <w:pPr>
        <w:pStyle w:val="Normal"/>
        <w:ind w:firstLine="360" w:end="0"/>
        <w:rPr>
          <w:rFonts w:ascii="Arial" w:hAnsi="Arial" w:cs="Arial"/>
        </w:rPr>
      </w:pPr>
      <w:r>
        <w:rPr>
          <w:rFonts w:cs="Arial" w:ascii="Arial" w:hAnsi="Arial"/>
        </w:rPr>
        <w:t>Assigned to: MTA</w:t>
      </w:r>
    </w:p>
    <w:p>
      <w:pPr>
        <w:pStyle w:val="Normal"/>
        <w:numPr>
          <w:ilvl w:val="0"/>
          <w:numId w:val="9"/>
        </w:numPr>
        <w:rPr>
          <w:rFonts w:ascii="Arial" w:hAnsi="Arial" w:cs="Arial"/>
        </w:rPr>
      </w:pPr>
      <w:r>
        <w:rPr>
          <w:rFonts w:cs="Arial" w:ascii="Arial" w:hAnsi="Arial"/>
        </w:rPr>
        <w:t>Market flaws</w:t>
      </w:r>
    </w:p>
    <w:p>
      <w:pPr>
        <w:pStyle w:val="Normal"/>
        <w:ind w:firstLine="360" w:end="0"/>
        <w:rPr>
          <w:rFonts w:ascii="Arial" w:hAnsi="Arial" w:cs="Arial"/>
        </w:rPr>
      </w:pPr>
      <w:r>
        <w:rPr>
          <w:rFonts w:cs="Arial" w:ascii="Arial" w:hAnsi="Arial"/>
        </w:rPr>
        <w:t>Assigned to: IEP/MRW/MTA</w:t>
      </w:r>
    </w:p>
    <w:p>
      <w:pPr>
        <w:pStyle w:val="Normal"/>
        <w:numPr>
          <w:ilvl w:val="0"/>
          <w:numId w:val="11"/>
        </w:numPr>
        <w:rPr>
          <w:rFonts w:ascii="Arial" w:hAnsi="Arial" w:cs="Arial"/>
        </w:rPr>
      </w:pPr>
      <w:r>
        <w:rPr>
          <w:rFonts w:cs="Arial" w:ascii="Arial" w:hAnsi="Arial"/>
        </w:rPr>
        <w:t>List of prior investigations — and findings</w:t>
      </w:r>
    </w:p>
    <w:p>
      <w:pPr>
        <w:pStyle w:val="Normal"/>
        <w:ind w:firstLine="360" w:end="0"/>
        <w:rPr/>
      </w:pPr>
      <w:r>
        <w:rPr>
          <w:rFonts w:cs="Arial" w:ascii="Arial" w:hAnsi="Arial"/>
        </w:rPr>
        <w:t>Assigned to:</w:t>
      </w:r>
      <w:r>
        <w:rPr>
          <w:rFonts w:cs="Arial" w:ascii="Arial" w:hAnsi="Arial"/>
          <w:color w:val="000000"/>
          <w:sz w:val="18"/>
        </w:rPr>
        <w:t xml:space="preserve"> </w:t>
      </w:r>
      <w:r>
        <w:rPr>
          <w:rFonts w:cs="Arial" w:ascii="Arial" w:hAnsi="Arial"/>
        </w:rPr>
        <w:t>IEP</w:t>
      </w:r>
    </w:p>
    <w:p>
      <w:pPr>
        <w:pStyle w:val="Normal"/>
        <w:ind w:firstLine="360" w:end="0"/>
        <w:rPr>
          <w:rFonts w:ascii="Arial" w:hAnsi="Arial" w:cs="Arial"/>
          <w:b/>
          <w:bCs/>
          <w:u w:val="single"/>
        </w:rPr>
      </w:pPr>
      <w:r>
        <w:rPr>
          <w:rFonts w:cs="Arial" w:ascii="Arial" w:hAnsi="Arial"/>
          <w:b/>
          <w:bCs/>
          <w:u w:val="single"/>
        </w:rPr>
      </w:r>
    </w:p>
    <w:p>
      <w:pPr>
        <w:pStyle w:val="Footer"/>
        <w:tabs>
          <w:tab w:val="clear" w:pos="4320"/>
          <w:tab w:val="clear" w:pos="8640"/>
        </w:tabs>
        <w:rPr/>
      </w:pPr>
      <w:r>
        <w:rPr>
          <w:rFonts w:cs="Arial" w:ascii="Arial" w:hAnsi="Arial"/>
          <w:b/>
          <w:bCs/>
          <w:u w:val="single"/>
        </w:rPr>
        <w:t>Earned Media</w:t>
      </w:r>
      <w:r>
        <w:rPr>
          <w:rFonts w:cs="Arial" w:ascii="Arial" w:hAnsi="Arial"/>
        </w:rPr>
        <w:t xml:space="preserve"> </w:t>
      </w:r>
    </w:p>
    <w:p>
      <w:pPr>
        <w:pStyle w:val="Footer"/>
        <w:tabs>
          <w:tab w:val="clear" w:pos="4320"/>
          <w:tab w:val="clear" w:pos="8640"/>
        </w:tabs>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Editorial Board Meetings</w:t>
      </w:r>
    </w:p>
    <w:p>
      <w:pPr>
        <w:pStyle w:val="Normal"/>
        <w:ind w:firstLine="360" w:end="0"/>
        <w:rPr>
          <w:rFonts w:ascii="Arial" w:hAnsi="Arial" w:cs="Arial"/>
        </w:rPr>
      </w:pPr>
      <w:r>
        <w:rPr>
          <w:rFonts w:cs="Arial" w:ascii="Arial" w:hAnsi="Arial"/>
        </w:rPr>
        <w:t>Assigned to: MTA/IEP</w:t>
      </w:r>
    </w:p>
    <w:p>
      <w:pPr>
        <w:pStyle w:val="Normal"/>
        <w:numPr>
          <w:ilvl w:val="0"/>
          <w:numId w:val="6"/>
        </w:numPr>
        <w:rPr>
          <w:rFonts w:ascii="Arial" w:hAnsi="Arial" w:cs="Arial"/>
        </w:rPr>
      </w:pPr>
      <w:r>
        <w:rPr>
          <w:rFonts w:cs="Arial" w:ascii="Arial" w:hAnsi="Arial"/>
        </w:rPr>
        <w:t>Media Briefing (Sacramento/Los Angeles)</w:t>
      </w:r>
    </w:p>
    <w:p>
      <w:pPr>
        <w:pStyle w:val="Normal"/>
        <w:ind w:firstLine="360" w:end="0"/>
        <w:rPr>
          <w:rFonts w:ascii="Arial" w:hAnsi="Arial" w:cs="Arial"/>
        </w:rPr>
      </w:pPr>
      <w:r>
        <w:rPr>
          <w:rFonts w:cs="Arial" w:ascii="Arial" w:hAnsi="Arial"/>
        </w:rPr>
        <w:t>Assigned to: MTA/IEP</w:t>
      </w:r>
    </w:p>
    <w:p>
      <w:pPr>
        <w:pStyle w:val="Normal"/>
        <w:numPr>
          <w:ilvl w:val="0"/>
          <w:numId w:val="6"/>
        </w:numPr>
        <w:rPr>
          <w:rFonts w:ascii="Arial" w:hAnsi="Arial" w:cs="Arial"/>
        </w:rPr>
      </w:pPr>
      <w:r>
        <w:rPr>
          <w:rFonts w:cs="Arial" w:ascii="Arial" w:hAnsi="Arial"/>
        </w:rPr>
        <w:t>One-on-one meetings with key TV/print reporters</w:t>
      </w:r>
    </w:p>
    <w:p>
      <w:pPr>
        <w:pStyle w:val="Normal"/>
        <w:ind w:firstLine="360" w:end="0"/>
        <w:rPr>
          <w:rFonts w:ascii="Arial" w:hAnsi="Arial" w:cs="Arial"/>
        </w:rPr>
      </w:pPr>
      <w:r>
        <w:rPr>
          <w:rFonts w:cs="Arial" w:ascii="Arial" w:hAnsi="Arial"/>
        </w:rPr>
        <w:t>Assigned to: MTA/IEP</w:t>
      </w:r>
    </w:p>
    <w:p>
      <w:pPr>
        <w:pStyle w:val="Normal"/>
        <w:numPr>
          <w:ilvl w:val="0"/>
          <w:numId w:val="6"/>
        </w:numPr>
        <w:rPr>
          <w:rFonts w:ascii="Arial" w:hAnsi="Arial" w:cs="Arial"/>
        </w:rPr>
      </w:pPr>
      <w:r>
        <w:rPr>
          <w:rFonts w:cs="Arial" w:ascii="Arial" w:hAnsi="Arial"/>
        </w:rPr>
        <w:t>“</w:t>
      </w:r>
      <w:r>
        <w:rPr>
          <w:rFonts w:cs="Arial" w:ascii="Arial" w:hAnsi="Arial"/>
        </w:rPr>
        <w:t>War Room” and “Rapid Response” (Satellite uplink, etc.)</w:t>
      </w:r>
    </w:p>
    <w:p>
      <w:pPr>
        <w:pStyle w:val="Normal"/>
        <w:ind w:firstLine="360" w:end="0"/>
        <w:rPr>
          <w:rFonts w:ascii="Arial" w:hAnsi="Arial" w:cs="Arial"/>
        </w:rPr>
      </w:pPr>
      <w:r>
        <w:rPr>
          <w:rFonts w:cs="Arial" w:ascii="Arial" w:hAnsi="Arial"/>
        </w:rPr>
        <w:t xml:space="preserve">Assigned to: MTA/IEP  </w:t>
      </w:r>
    </w:p>
    <w:p>
      <w:pPr>
        <w:pStyle w:val="Normal"/>
        <w:numPr>
          <w:ilvl w:val="0"/>
          <w:numId w:val="12"/>
        </w:numPr>
        <w:rPr>
          <w:rFonts w:ascii="Arial" w:hAnsi="Arial" w:cs="Arial"/>
        </w:rPr>
      </w:pPr>
      <w:r>
        <w:rPr>
          <w:rFonts w:cs="Arial" w:ascii="Arial" w:hAnsi="Arial"/>
        </w:rPr>
        <w:t>Power plant tours</w:t>
      </w:r>
    </w:p>
    <w:p>
      <w:pPr>
        <w:pStyle w:val="Normal"/>
        <w:ind w:firstLine="360" w:end="0"/>
        <w:rPr>
          <w:rFonts w:ascii="Arial" w:hAnsi="Arial" w:cs="Arial"/>
        </w:rPr>
      </w:pPr>
      <w:r>
        <w:rPr>
          <w:rFonts w:cs="Arial" w:ascii="Arial" w:hAnsi="Arial"/>
        </w:rPr>
        <w:t>Assigned to: MTA/IEP</w:t>
      </w:r>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b/>
          <w:bCs/>
          <w:u w:val="single"/>
        </w:rPr>
      </w:pPr>
      <w:r>
        <w:rPr>
          <w:rFonts w:cs="Arial" w:ascii="Arial" w:hAnsi="Arial"/>
          <w:b/>
          <w:bCs/>
          <w:u w:val="single"/>
        </w:rPr>
      </w:r>
    </w:p>
    <w:p>
      <w:pPr>
        <w:pStyle w:val="Footer"/>
        <w:tabs>
          <w:tab w:val="clear" w:pos="4320"/>
          <w:tab w:val="clear" w:pos="8640"/>
        </w:tabs>
        <w:rPr>
          <w:rFonts w:ascii="Arial" w:hAnsi="Arial" w:cs="Arial"/>
          <w:b/>
          <w:bCs/>
          <w:u w:val="single"/>
        </w:rPr>
      </w:pPr>
      <w:r>
        <w:rPr>
          <w:rFonts w:cs="Arial" w:ascii="Arial" w:hAnsi="Arial"/>
          <w:b/>
          <w:bCs/>
          <w:u w:val="single"/>
        </w:rPr>
        <w:t>Collateral Materials</w:t>
      </w:r>
    </w:p>
    <w:p>
      <w:pPr>
        <w:pStyle w:val="Footer"/>
        <w:tabs>
          <w:tab w:val="clear" w:pos="4320"/>
          <w:tab w:val="clear" w:pos="8640"/>
        </w:tabs>
        <w:rPr>
          <w:rFonts w:ascii="Arial" w:hAnsi="Arial" w:cs="Arial"/>
          <w:b/>
          <w:bCs/>
          <w:u w:val="single"/>
        </w:rPr>
      </w:pPr>
      <w:r>
        <w:rPr>
          <w:rFonts w:cs="Arial" w:ascii="Arial" w:hAnsi="Arial"/>
          <w:b/>
          <w:bCs/>
          <w:u w:val="single"/>
        </w:rPr>
      </w:r>
    </w:p>
    <w:p>
      <w:pPr>
        <w:pStyle w:val="Footer"/>
        <w:tabs>
          <w:tab w:val="clear" w:pos="4320"/>
          <w:tab w:val="clear" w:pos="8640"/>
        </w:tabs>
        <w:rPr>
          <w:rFonts w:ascii="Arial" w:hAnsi="Arial" w:cs="Arial"/>
        </w:rPr>
      </w:pPr>
      <w:r>
        <w:rPr>
          <w:rFonts w:cs="Arial" w:ascii="Arial" w:hAnsi="Arial"/>
        </w:rPr>
        <w:t>California Journal Ad- MAY</w:t>
      </w:r>
    </w:p>
    <w:p>
      <w:pPr>
        <w:pStyle w:val="Footer"/>
        <w:tabs>
          <w:tab w:val="clear" w:pos="4320"/>
          <w:tab w:val="clear" w:pos="8640"/>
        </w:tabs>
        <w:rPr>
          <w:rFonts w:ascii="Arial" w:hAnsi="Arial" w:cs="Arial"/>
        </w:rPr>
      </w:pPr>
      <w:r>
        <w:rPr>
          <w:rFonts w:cs="Arial" w:ascii="Arial" w:hAnsi="Arial"/>
        </w:rPr>
        <w:t>Assigned to: MTA</w:t>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t>Due Date: Copy distributed for approval: April 9 10am</w:t>
      </w:r>
    </w:p>
    <w:p>
      <w:pPr>
        <w:pStyle w:val="Footer"/>
        <w:tabs>
          <w:tab w:val="clear" w:pos="4320"/>
          <w:tab w:val="clear" w:pos="8640"/>
        </w:tabs>
        <w:rPr>
          <w:rFonts w:ascii="Arial" w:hAnsi="Arial" w:cs="Arial"/>
        </w:rPr>
      </w:pPr>
      <w:r>
        <w:rPr>
          <w:rFonts w:cs="Arial" w:ascii="Arial" w:hAnsi="Arial"/>
        </w:rPr>
        <w:tab/>
        <w:t xml:space="preserve">      IEP Approval: April 10 10am</w:t>
      </w:r>
    </w:p>
    <w:p>
      <w:pPr>
        <w:pStyle w:val="Footer"/>
        <w:tabs>
          <w:tab w:val="clear" w:pos="4320"/>
          <w:tab w:val="clear" w:pos="8640"/>
        </w:tabs>
        <w:rPr>
          <w:rFonts w:ascii="Arial" w:hAnsi="Arial" w:cs="Arial"/>
        </w:rPr>
      </w:pPr>
      <w:r>
        <w:rPr>
          <w:rFonts w:cs="Arial" w:ascii="Arial" w:hAnsi="Arial"/>
        </w:rPr>
        <w:tab/>
        <w:t xml:space="preserve">      Art: TBD</w:t>
      </w:r>
    </w:p>
    <w:p>
      <w:pPr>
        <w:pStyle w:val="Footer"/>
        <w:tabs>
          <w:tab w:val="clear" w:pos="4320"/>
          <w:tab w:val="clear" w:pos="8640"/>
        </w:tabs>
        <w:rPr>
          <w:rFonts w:ascii="Arial" w:hAnsi="Arial" w:cs="Arial"/>
        </w:rPr>
      </w:pPr>
      <w:r>
        <w:rPr>
          <w:rFonts w:cs="Arial" w:ascii="Arial" w:hAnsi="Arial"/>
        </w:rPr>
        <w:tab/>
        <w:t xml:space="preserve">      Final: ASAP</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w:t>
      </w:r>
      <w:r>
        <w:rPr>
          <w:rFonts w:cs="Arial" w:ascii="Arial" w:hAnsi="Arial"/>
        </w:rPr>
        <w:t xml:space="preserve">Early Warnings” — using NYMEX report, etc. to demonstrate that the market is flawed, and set up to fail </w:t>
      </w:r>
    </w:p>
    <w:p>
      <w:pPr>
        <w:pStyle w:val="Normal"/>
        <w:numPr>
          <w:ilvl w:val="0"/>
          <w:numId w:val="10"/>
        </w:numPr>
        <w:rPr>
          <w:rFonts w:ascii="Arial" w:hAnsi="Arial" w:cs="Arial"/>
        </w:rPr>
      </w:pPr>
      <w:r>
        <w:rPr>
          <w:rFonts w:cs="Arial" w:ascii="Arial" w:hAnsi="Arial"/>
        </w:rPr>
        <w:t>“</w:t>
      </w:r>
      <w:r>
        <w:rPr>
          <w:rFonts w:cs="Arial" w:ascii="Arial" w:hAnsi="Arial"/>
        </w:rPr>
        <w:t>How the market works” — how electricity is sold and distributed</w:t>
      </w:r>
    </w:p>
    <w:p>
      <w:pPr>
        <w:pStyle w:val="Normal"/>
        <w:numPr>
          <w:ilvl w:val="0"/>
          <w:numId w:val="10"/>
        </w:numPr>
        <w:rPr>
          <w:rFonts w:ascii="Arial" w:hAnsi="Arial" w:cs="Arial"/>
        </w:rPr>
      </w:pPr>
      <w:r>
        <w:rPr>
          <w:rFonts w:cs="Arial" w:ascii="Arial" w:hAnsi="Arial"/>
        </w:rPr>
        <w:t>“</w:t>
      </w:r>
      <w:r>
        <w:rPr>
          <w:rFonts w:cs="Arial" w:ascii="Arial" w:hAnsi="Arial"/>
        </w:rPr>
        <w:t>The Perfect Storm” — why the market failed</w:t>
      </w:r>
    </w:p>
    <w:p>
      <w:pPr>
        <w:pStyle w:val="Normal"/>
        <w:numPr>
          <w:ilvl w:val="0"/>
          <w:numId w:val="10"/>
        </w:numPr>
        <w:rPr>
          <w:rFonts w:ascii="Arial" w:hAnsi="Arial" w:cs="Arial"/>
        </w:rPr>
      </w:pPr>
      <w:r>
        <w:rPr>
          <w:rFonts w:cs="Arial" w:ascii="Arial" w:hAnsi="Arial"/>
        </w:rPr>
        <w:t>“</w:t>
      </w:r>
      <w:r>
        <w:rPr>
          <w:rFonts w:cs="Arial" w:ascii="Arial" w:hAnsi="Arial"/>
        </w:rPr>
        <w:t>Predicting the weather” —  what could have been done to prevent it using timeline of , PUC decisions preventing long-term contracts,  </w:t>
      </w:r>
    </w:p>
    <w:p>
      <w:pPr>
        <w:pStyle w:val="Normal"/>
        <w:numPr>
          <w:ilvl w:val="0"/>
          <w:numId w:val="10"/>
        </w:numPr>
        <w:rPr>
          <w:rFonts w:ascii="Arial" w:hAnsi="Arial" w:cs="Arial"/>
        </w:rPr>
      </w:pPr>
      <w:r>
        <w:rPr>
          <w:rFonts w:cs="Arial" w:ascii="Arial" w:hAnsi="Arial"/>
        </w:rPr>
        <w:t>Money that could have been saved with long-term contracts chart</w:t>
      </w:r>
    </w:p>
    <w:p>
      <w:pPr>
        <w:pStyle w:val="Normal"/>
        <w:numPr>
          <w:ilvl w:val="0"/>
          <w:numId w:val="10"/>
        </w:numPr>
        <w:rPr>
          <w:rFonts w:ascii="Arial" w:hAnsi="Arial" w:cs="Arial"/>
        </w:rPr>
      </w:pPr>
      <w:r>
        <w:rPr>
          <w:rFonts w:cs="Arial" w:ascii="Arial" w:hAnsi="Arial"/>
        </w:rPr>
        <w:t>“</w:t>
      </w:r>
      <w:r>
        <w:rPr>
          <w:rFonts w:cs="Arial" w:ascii="Arial" w:hAnsi="Arial"/>
        </w:rPr>
        <w:t xml:space="preserve">California’s Vintage Power Plants” — a hand-out for each of the merchant power plants in California utilizing data from outage standards report </w:t>
      </w:r>
    </w:p>
    <w:p>
      <w:pPr>
        <w:pStyle w:val="Normal"/>
        <w:numPr>
          <w:ilvl w:val="0"/>
          <w:numId w:val="10"/>
        </w:numPr>
        <w:rPr>
          <w:rFonts w:ascii="Arial" w:hAnsi="Arial" w:cs="Arial"/>
        </w:rPr>
      </w:pPr>
      <w:r>
        <w:rPr>
          <w:rFonts w:cs="Arial" w:ascii="Arial" w:hAnsi="Arial"/>
        </w:rPr>
        <w:t>List of prior investigations and findings</w:t>
      </w:r>
    </w:p>
    <w:p>
      <w:pPr>
        <w:pStyle w:val="Normal"/>
        <w:numPr>
          <w:ilvl w:val="0"/>
          <w:numId w:val="10"/>
        </w:numPr>
        <w:rPr>
          <w:rFonts w:ascii="Arial" w:hAnsi="Arial" w:cs="Arial"/>
        </w:rPr>
      </w:pPr>
      <w:r>
        <w:rPr>
          <w:rFonts w:cs="Arial" w:ascii="Arial" w:hAnsi="Arial"/>
        </w:rPr>
        <w:t>Who powers California chart</w:t>
      </w:r>
    </w:p>
    <w:sectPr>
      <w:type w:val="nextPage"/>
      <w:pgSz w:w="12240" w:h="15840"/>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o"/>
      <w:lvlJc w:val="start"/>
      <w:pPr>
        <w:tabs>
          <w:tab w:val="num" w:pos="360"/>
        </w:tabs>
        <w:ind w:start="36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Helvetica;Arial" w:hAnsi="Helvetica;Arial" w:cs="Helvetica;Arial"/>
      <w:b/>
      <w:bC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Helvetica;Arial" w:hAnsi="Helvetica;Arial" w:cs="Helvetica;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Helvetica;Arial" w:hAnsi="Helvetica;Arial" w:cs="Helvetica;Arial"/>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2001-04-05T16:00:00Z</dcterms:created>
  <dc:creator>Katie Kaplan</dc:creator>
  <dc:description/>
  <dc:language>en-CA</dc:language>
  <cp:lastModifiedBy>Katie Kaplan</cp:lastModifiedBy>
  <dcterms:modified xsi:type="dcterms:W3CDTF">2001-04-06T13:55:00Z</dcterms:modified>
  <cp:revision>5</cp:revision>
  <dc:subject/>
  <dc:title>Carolyn:</dc:title>
</cp:coreProperties>
</file>