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noteText"/>
        <w:rPr/>
      </w:pPr>
      <w:r>
        <w:rPr/>
        <w:t>Exhibit Number:</w:t>
        <w:tab/>
        <w:tab/>
        <w:t>________________</w:t>
      </w:r>
    </w:p>
    <w:p>
      <w:pPr>
        <w:pStyle w:val="Normal"/>
        <w:rPr/>
      </w:pPr>
      <w:r>
        <w:rPr/>
        <w:t>Commissioner:</w:t>
        <w:tab/>
        <w:tab/>
        <w:t>________________</w:t>
      </w:r>
    </w:p>
    <w:p>
      <w:pPr>
        <w:pStyle w:val="Normal"/>
        <w:rPr/>
      </w:pPr>
      <w:r>
        <w:rPr/>
        <w:t>Adm. Law Judge:</w:t>
        <w:tab/>
        <w:tab/>
        <w:t>________________</w:t>
      </w:r>
    </w:p>
    <w:p>
      <w:pPr>
        <w:pStyle w:val="Normal"/>
        <w:rPr/>
      </w:pPr>
      <w:r>
        <w:rPr/>
        <w:t>Witness:</w:t>
        <w:tab/>
        <w:tab/>
        <w:tab/>
      </w:r>
      <w:r>
        <w:rPr>
          <w:u w:val="single"/>
        </w:rPr>
        <w:t>William A. Monsen</w:t>
      </w:r>
    </w:p>
    <w:p>
      <w:pPr>
        <w:pStyle w:val="Heading"/>
        <w:rPr>
          <w:u w:val="single"/>
        </w:rPr>
      </w:pPr>
      <w:r>
        <w:rPr>
          <w:u w:val="single"/>
        </w:rPr>
      </w:r>
    </w:p>
    <w:p>
      <w:pPr>
        <w:pStyle w:val="Heading"/>
        <w:rPr/>
      </w:pPr>
      <w:r>
        <w:rPr/>
      </w:r>
    </w:p>
    <w:p>
      <w:pPr>
        <w:pStyle w:val="Heading"/>
        <w:rPr/>
      </w:pPr>
      <w:r>
        <w:rPr/>
      </w:r>
    </w:p>
    <w:p>
      <w:pPr>
        <w:pStyle w:val="Heading"/>
        <w:rPr/>
      </w:pPr>
      <w:r>
        <w:rPr/>
      </w:r>
    </w:p>
    <w:p>
      <w:pPr>
        <w:pStyle w:val="Heading"/>
        <w:rPr/>
      </w:pPr>
      <w:r>
        <w:rPr/>
        <w:t>BEFORE THE PUBLIC UTILITIES COMMISSION</w:t>
      </w:r>
    </w:p>
    <w:p>
      <w:pPr>
        <w:pStyle w:val="Normal"/>
        <w:jc w:val="center"/>
        <w:rPr>
          <w:b/>
          <w:sz w:val="24"/>
        </w:rPr>
      </w:pPr>
      <w:r>
        <w:rPr>
          <w:b/>
          <w:sz w:val="24"/>
        </w:rPr>
        <w:t>OF THE STATE OF CALIFORNIA</w:t>
      </w:r>
    </w:p>
    <w:p>
      <w:pPr>
        <w:pStyle w:val="Normal"/>
        <w:jc w:val="center"/>
        <w:rPr>
          <w:b/>
          <w:sz w:val="24"/>
        </w:rPr>
      </w:pPr>
      <w:r>
        <w:rPr>
          <w:b/>
          <w:sz w:val="24"/>
        </w:rPr>
      </w:r>
    </w:p>
    <w:p>
      <w:pPr>
        <w:pStyle w:val="Normal"/>
        <w:jc w:val="center"/>
        <w:rPr>
          <w:b/>
          <w:sz w:val="24"/>
        </w:rPr>
      </w:pPr>
      <w:r>
        <w:rPr>
          <w:b/>
          <w:sz w:val="24"/>
        </w:rPr>
      </w:r>
    </w:p>
    <w:p>
      <w:pPr>
        <w:pStyle w:val="Heading1"/>
        <w:ind w:hanging="0" w:start="0"/>
        <w:rPr>
          <w:b w:val="false"/>
          <w:sz w:val="24"/>
        </w:rPr>
      </w:pPr>
      <w:r>
        <w:rPr>
          <w:b w:val="false"/>
          <w:sz w:val="24"/>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bottom w:val="single" w:sz="4" w:space="0" w:color="000000"/>
              <w:end w:val="single" w:sz="4" w:space="0" w:color="000000"/>
            </w:tcBorders>
          </w:tcPr>
          <w:p>
            <w:pPr>
              <w:pStyle w:val="Heading1"/>
              <w:ind w:hanging="0" w:start="0"/>
              <w:rPr>
                <w:b w:val="false"/>
              </w:rPr>
            </w:pPr>
            <w:r>
              <w:rPr>
                <w:b w:val="false"/>
              </w:rPr>
              <w:t>Order Instituting Rulemaking into</w:t>
            </w:r>
          </w:p>
          <w:p>
            <w:pPr>
              <w:pStyle w:val="Heading2"/>
              <w:ind w:hanging="0" w:start="0"/>
              <w:rPr/>
            </w:pPr>
            <w:r>
              <w:rPr/>
              <w:t>Implementation of Public Utilities Code § 390</w:t>
            </w:r>
          </w:p>
          <w:p>
            <w:pPr>
              <w:pStyle w:val="Normal"/>
              <w:rPr/>
            </w:pPr>
            <w:r>
              <w:rPr/>
            </w:r>
          </w:p>
        </w:tc>
        <w:tc>
          <w:tcPr>
            <w:tcW w:w="4320" w:type="dxa"/>
            <w:tcBorders>
              <w:start w:val="single" w:sz="4" w:space="0" w:color="000000"/>
            </w:tcBorders>
          </w:tcPr>
          <w:p>
            <w:pPr>
              <w:pStyle w:val="Heading1"/>
              <w:ind w:hanging="0" w:start="0"/>
              <w:jc w:val="center"/>
              <w:rPr>
                <w:b w:val="false"/>
              </w:rPr>
            </w:pPr>
            <w:r>
              <w:rPr>
                <w:b w:val="false"/>
              </w:rPr>
              <w:t>Rulemaking 99-11-022</w:t>
            </w:r>
          </w:p>
          <w:p>
            <w:pPr>
              <w:pStyle w:val="Normal"/>
              <w:jc w:val="center"/>
              <w:rPr>
                <w:sz w:val="24"/>
              </w:rPr>
            </w:pPr>
            <w:r>
              <w:rPr>
                <w:sz w:val="24"/>
              </w:rPr>
              <w:t>(Filed November 18, 1999)</w:t>
            </w:r>
          </w:p>
        </w:tc>
      </w:tr>
    </w:tbl>
    <w:p>
      <w:pPr>
        <w:pStyle w:val="Heading1"/>
        <w:ind w:hanging="0" w:start="0"/>
        <w:rPr/>
      </w:pPr>
      <w:r>
        <w:rPr/>
      </w:r>
    </w:p>
    <w:p>
      <w:pPr>
        <w:pStyle w:val="Heading1"/>
        <w:ind w:hanging="0" w:start="0"/>
        <w:rPr/>
      </w:pPr>
      <w:r>
        <w:rPr/>
      </w:r>
    </w:p>
    <w:p>
      <w:pPr>
        <w:pStyle w:val="Normal"/>
        <w:rPr/>
      </w:pPr>
      <w:r>
        <w:rPr/>
      </w:r>
    </w:p>
    <w:p>
      <w:pPr>
        <w:pStyle w:val="BodyText"/>
        <w:rPr/>
      </w:pPr>
      <w:r>
        <w:rPr/>
        <w:t>REBUTTAL TESTIMONY OF THE INDEPENDENT ENERGY PRODUCERS ASSOCIATION REGARDING SHORT-RUN AVOIDED COSTS</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BodyText"/>
        <w:ind w:start="5040" w:end="0"/>
        <w:jc w:val="start"/>
        <w:rPr>
          <w:b w:val="false"/>
          <w:sz w:val="24"/>
        </w:rPr>
      </w:pPr>
      <w:r>
        <w:rPr>
          <w:b w:val="false"/>
          <w:sz w:val="24"/>
        </w:rPr>
      </w:r>
    </w:p>
    <w:p>
      <w:pPr>
        <w:pStyle w:val="BodyText"/>
        <w:ind w:start="5040" w:end="0"/>
        <w:jc w:val="start"/>
        <w:rPr>
          <w:b w:val="false"/>
        </w:rPr>
      </w:pPr>
      <w:r>
        <w:rPr>
          <w:b w:val="false"/>
        </w:rPr>
      </w:r>
    </w:p>
    <w:p>
      <w:pPr>
        <w:pStyle w:val="BodyText"/>
        <w:rPr>
          <w:b w:val="false"/>
        </w:rPr>
      </w:pPr>
      <w:r>
        <w:rPr>
          <w:b w:val="false"/>
        </w:rP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lnNumType w:countBy="1" w:restart="newPage" w:distance="283"/>
          <w:pgNumType w:fmt="decimal"/>
          <w:formProt w:val="false"/>
          <w:titlePg/>
          <w:textDirection w:val="lrTb"/>
          <w:docGrid w:type="default" w:linePitch="360" w:charSpace="0"/>
        </w:sectPr>
        <w:pStyle w:val="BodyText"/>
        <w:jc w:val="start"/>
        <w:rPr>
          <w:b w:val="false"/>
        </w:rPr>
      </w:pPr>
      <w:r>
        <w:rPr>
          <w:b w:val="false"/>
        </w:rPr>
        <w:t>Dated:</w:t>
        <w:tab/>
        <w:t>May 25, 2001</w:t>
      </w:r>
    </w:p>
    <w:p>
      <w:pPr>
        <w:pStyle w:val="Heading"/>
        <w:rPr/>
      </w:pPr>
      <w:r>
        <w:rPr/>
        <w:t>BEFORE THE PUBLIC UTILITIES COMMISSION</w:t>
      </w:r>
    </w:p>
    <w:p>
      <w:pPr>
        <w:pStyle w:val="Normal"/>
        <w:jc w:val="center"/>
        <w:rPr>
          <w:b/>
          <w:sz w:val="24"/>
        </w:rPr>
      </w:pPr>
      <w:r>
        <w:rPr>
          <w:b/>
          <w:sz w:val="24"/>
        </w:rPr>
        <w:t>OF THE STATE OF CALIFORNIA</w:t>
      </w:r>
    </w:p>
    <w:p>
      <w:pPr>
        <w:pStyle w:val="Normal"/>
        <w:jc w:val="center"/>
        <w:rPr>
          <w:b/>
          <w:sz w:val="24"/>
        </w:rPr>
      </w:pPr>
      <w:r>
        <w:rPr>
          <w:b/>
          <w:sz w:val="24"/>
        </w:rPr>
      </w:r>
    </w:p>
    <w:p>
      <w:pPr>
        <w:pStyle w:val="Normal"/>
        <w:jc w:val="center"/>
        <w:rPr>
          <w:b/>
          <w:sz w:val="24"/>
        </w:rPr>
      </w:pPr>
      <w:r>
        <w:rPr>
          <w:b/>
          <w:sz w:val="24"/>
        </w:rPr>
      </w:r>
    </w:p>
    <w:p>
      <w:pPr>
        <w:pStyle w:val="Heading1"/>
        <w:ind w:hanging="0" w:start="0"/>
        <w:rPr>
          <w:b w:val="false"/>
          <w:sz w:val="24"/>
        </w:rPr>
      </w:pPr>
      <w:r>
        <w:rPr>
          <w:b w:val="false"/>
          <w:sz w:val="24"/>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bottom w:val="single" w:sz="4" w:space="0" w:color="000000"/>
              <w:end w:val="single" w:sz="4" w:space="0" w:color="000000"/>
            </w:tcBorders>
          </w:tcPr>
          <w:p>
            <w:pPr>
              <w:pStyle w:val="Heading1"/>
              <w:ind w:hanging="0" w:start="0"/>
              <w:rPr>
                <w:b w:val="false"/>
              </w:rPr>
            </w:pPr>
            <w:r>
              <w:rPr>
                <w:b w:val="false"/>
              </w:rPr>
              <w:t>Order Instituting Rulemaking into</w:t>
            </w:r>
          </w:p>
          <w:p>
            <w:pPr>
              <w:pStyle w:val="Heading2"/>
              <w:ind w:hanging="0" w:start="0"/>
              <w:rPr/>
            </w:pPr>
            <w:r>
              <w:rPr/>
              <w:t>Implementation of Public Utilities Code § 390</w:t>
            </w:r>
          </w:p>
          <w:p>
            <w:pPr>
              <w:pStyle w:val="Normal"/>
              <w:rPr/>
            </w:pPr>
            <w:r>
              <w:rPr/>
            </w:r>
          </w:p>
        </w:tc>
        <w:tc>
          <w:tcPr>
            <w:tcW w:w="4320" w:type="dxa"/>
            <w:tcBorders>
              <w:start w:val="single" w:sz="4" w:space="0" w:color="000000"/>
            </w:tcBorders>
          </w:tcPr>
          <w:p>
            <w:pPr>
              <w:pStyle w:val="Heading1"/>
              <w:ind w:hanging="0" w:start="0"/>
              <w:jc w:val="center"/>
              <w:rPr>
                <w:b w:val="false"/>
              </w:rPr>
            </w:pPr>
            <w:r>
              <w:rPr>
                <w:b w:val="false"/>
              </w:rPr>
              <w:t>Rulemaking 99-11-022</w:t>
            </w:r>
          </w:p>
          <w:p>
            <w:pPr>
              <w:pStyle w:val="Normal"/>
              <w:jc w:val="center"/>
              <w:rPr>
                <w:sz w:val="24"/>
              </w:rPr>
            </w:pPr>
            <w:r>
              <w:rPr>
                <w:sz w:val="24"/>
              </w:rPr>
              <w:t>(Filed November 18, 1999)</w:t>
            </w:r>
          </w:p>
        </w:tc>
      </w:tr>
    </w:tbl>
    <w:p>
      <w:pPr>
        <w:pStyle w:val="Heading1"/>
        <w:ind w:hanging="0" w:start="0"/>
        <w:rPr/>
      </w:pPr>
      <w:r>
        <w:rPr/>
      </w:r>
    </w:p>
    <w:p>
      <w:pPr>
        <w:pStyle w:val="BodyText"/>
        <w:rPr/>
      </w:pPr>
      <w:r>
        <w:rPr/>
        <w:t>REBUTTAL TESTIMONY OF THE INDEPENDENT ENERGY PRODUCERS ASSOCIATION REGARDING SHORT-RUN AVOIDED COST</w:t>
      </w:r>
    </w:p>
    <w:p>
      <w:pPr>
        <w:pStyle w:val="Normal"/>
        <w:rPr/>
      </w:pPr>
      <w:r>
        <w:rPr/>
      </w:r>
    </w:p>
    <w:p>
      <w:pPr>
        <w:pStyle w:val="Heading1"/>
        <w:ind w:hanging="0" w:start="0"/>
        <w:rPr/>
      </w:pPr>
      <w:r>
        <w:rPr/>
        <w:t>I.</w:t>
        <w:tab/>
        <w:t>Introduction</w:t>
      </w:r>
    </w:p>
    <w:p>
      <w:pPr>
        <w:pStyle w:val="Normal"/>
        <w:rPr>
          <w:b/>
          <w:sz w:val="24"/>
        </w:rPr>
      </w:pPr>
      <w:r>
        <w:rPr>
          <w:b/>
          <w:sz w:val="24"/>
        </w:rPr>
      </w:r>
    </w:p>
    <w:p>
      <w:pPr>
        <w:pStyle w:val="text"/>
        <w:rPr/>
      </w:pPr>
      <w:r>
        <w:rPr/>
        <w:t xml:space="preserve">This rebuttal testimony is being submitted in response to </w:t>
      </w:r>
      <w:r>
        <w:rPr>
          <w:b/>
        </w:rPr>
        <w:t>[[find ALJ order on timing of rebuttal]]</w:t>
      </w:r>
      <w:r>
        <w:rPr/>
        <w:t>. This rebuttal testimony responds to the opening testimony by SCE in this proceeding.</w:t>
      </w:r>
      <w:r>
        <w:rPr>
          <w:rStyle w:val="FootnoteCharacters"/>
        </w:rPr>
        <w:t xml:space="preserve"> </w:t>
      </w:r>
      <w:r>
        <w:rPr>
          <w:rStyle w:val="FootnoteCharacters"/>
          <w:rStyle w:val="FootnoteReference"/>
        </w:rPr>
        <w:footnoteReference w:id="2"/>
      </w:r>
    </w:p>
    <w:p>
      <w:pPr>
        <w:pStyle w:val="text"/>
        <w:rPr/>
      </w:pPr>
      <w:r>
        <w:rPr/>
        <w:t>This testimony is being filed on behalf of the Independent Energy Producers Association (IEP). IEP represents over 4,000 MW of QF generation throughout California. IEP’s rebuttal testimony is being sponsored by William A. Monsen.  Mr. Monsen is a Principal with MRW &amp; Associates, Inc. (MRW).  His business address is 1999 Harrison Street, Suite 1440, Oakland, CA 94612. Mr. Monsen submitted direct testimony in this proceeding.</w:t>
      </w:r>
    </w:p>
    <w:p>
      <w:pPr>
        <w:pStyle w:val="text"/>
        <w:rPr/>
      </w:pPr>
      <w:r>
        <w:rPr/>
      </w:r>
    </w:p>
    <w:p>
      <w:pPr>
        <w:pStyle w:val="text"/>
        <w:ind w:hanging="0" w:end="0"/>
        <w:rPr>
          <w:b/>
        </w:rPr>
      </w:pPr>
      <w:r>
        <w:rPr>
          <w:b/>
        </w:rPr>
        <w:t>II.</w:t>
        <w:tab/>
        <w:t>SCE’s Proposal Has Merit As A Long-Run Avoided Cost Option But Is Irrelevant to the Determination of IER and O&amp;M for the Transition Formula</w:t>
      </w:r>
    </w:p>
    <w:p>
      <w:pPr>
        <w:pStyle w:val="text"/>
        <w:ind w:hanging="0" w:end="0"/>
        <w:rPr>
          <w:b/>
        </w:rPr>
      </w:pPr>
      <w:r>
        <w:rPr>
          <w:b/>
        </w:rPr>
      </w:r>
    </w:p>
    <w:p>
      <w:pPr>
        <w:pStyle w:val="text"/>
        <w:rPr/>
      </w:pPr>
      <w:r>
        <w:rPr/>
        <w:t>SCE Witness Davis presents a so-called “Alternative Logic Path” for determining IER and O&amp;M adder.</w:t>
      </w:r>
      <w:r>
        <w:rPr>
          <w:rStyle w:val="FootnoteCharacters"/>
          <w:rStyle w:val="FootnoteReference"/>
        </w:rPr>
        <w:footnoteReference w:id="3"/>
      </w:r>
      <w:r>
        <w:rPr/>
        <w:t xml:space="preserve">  His testimony presents the outline for an approach for determining long-run avoided costs associated for payment to QFs. This approach starts with the premise that “FERC’s implementing regulations contemplate developing avoided cost methodologies that are based…on the cost of a replacement resource, or of procuring power elsewhere.”</w:t>
      </w:r>
      <w:r>
        <w:rPr>
          <w:rStyle w:val="FootnoteCharacters"/>
          <w:rStyle w:val="FootnoteReference"/>
        </w:rPr>
        <w:footnoteReference w:id="4"/>
      </w:r>
      <w:r>
        <w:rPr/>
        <w:t xml:space="preserve"> Even though his underlying assumptions regarding the definition of avoided costs are incorrect,</w:t>
      </w:r>
      <w:r>
        <w:rPr>
          <w:rStyle w:val="FootnoteCharacters"/>
          <w:rStyle w:val="FootnoteReference"/>
        </w:rPr>
        <w:footnoteReference w:id="5"/>
      </w:r>
      <w:r>
        <w:rPr/>
        <w:t xml:space="preserve"> this approach has some merit with regards to the determination of </w:t>
      </w:r>
      <w:r>
        <w:rPr>
          <w:u w:val="single"/>
        </w:rPr>
        <w:t>long-run</w:t>
      </w:r>
      <w:r>
        <w:rPr/>
        <w:t xml:space="preserve"> avoided costs, with only slight changes. However, it should not be used for the determination of short-run avoided costs without significant methodological corrections. If those corrections are made, then the approach would be analogous to the proxy approach presented by IEP in its opening testimony in the instant proceeding. Each of these matters are discussed below.</w:t>
      </w:r>
    </w:p>
    <w:p>
      <w:pPr>
        <w:pStyle w:val="text"/>
        <w:rPr/>
      </w:pPr>
      <w:r>
        <w:rPr/>
      </w:r>
    </w:p>
    <w:p>
      <w:pPr>
        <w:pStyle w:val="text"/>
        <w:numPr>
          <w:ilvl w:val="0"/>
          <w:numId w:val="2"/>
        </w:numPr>
        <w:tabs>
          <w:tab w:val="clear" w:pos="720"/>
          <w:tab w:val="left" w:pos="1440" w:leader="none"/>
        </w:tabs>
        <w:ind w:hanging="720" w:start="1440" w:end="0"/>
        <w:rPr>
          <w:b/>
        </w:rPr>
      </w:pPr>
      <w:r>
        <w:rPr>
          <w:b/>
        </w:rPr>
        <w:t>Given SCE’s Current Situation, SCE’s Short-Run Avoided Costs Could Be Determined Based on Replacement Costs</w:t>
      </w:r>
    </w:p>
    <w:p>
      <w:pPr>
        <w:pStyle w:val="text"/>
        <w:ind w:hanging="0" w:end="0"/>
        <w:rPr>
          <w:b/>
        </w:rPr>
      </w:pPr>
      <w:r>
        <w:rPr>
          <w:b/>
        </w:rPr>
      </w:r>
    </w:p>
    <w:p>
      <w:pPr>
        <w:pStyle w:val="text"/>
        <w:rPr/>
      </w:pPr>
      <w:r>
        <w:rPr/>
        <w:t>SCE is no longer procuring power on behalf of its customers. Instead, the California Department of Water Resources (CDWR) has taken on the role of procuring power for SCE’s customers to the extent that SCE’s own resources (i.e., the generating facilities owned by SCE or long-term contracts from which SCE obtains power) are not adequate to meet SCE’s native loads. This arrangement is expected to continue for the forseeable future. Thus, as SCE’s load grows (and a smaller percentage of SCE’s load is supplied by SCE’s own resources), then CDWR will be the marginal supplier of power to SCE’s customers.</w:t>
      </w:r>
    </w:p>
    <w:p>
      <w:pPr>
        <w:pStyle w:val="text"/>
        <w:rPr/>
      </w:pPr>
      <w:r>
        <w:rPr/>
        <w:t xml:space="preserve">The agreements under which CDWR has procured power to meet SCE’s net short obligation are not publicly available. However, press reports indicate that CDWR’s portfolio consists of spot purchases on the real-time market, short-term agreements, and long-term agreements. </w:t>
      </w:r>
      <w:r>
        <w:rPr>
          <w:b/>
        </w:rPr>
        <w:t>[[cite to SF Chronicle press report]]</w:t>
      </w:r>
      <w:r>
        <w:rPr/>
        <w:t xml:space="preserve">  Based on these reports, it appears that the average prices for the first five years of the CDWR contracts are $79 per MWh, with average prices over the next 10 years being $61 per MWh. </w:t>
      </w:r>
      <w:r>
        <w:rPr>
          <w:b/>
        </w:rPr>
        <w:t>[[cite]]</w:t>
      </w:r>
      <w:r>
        <w:rPr/>
        <w:t xml:space="preserve">  It is also clear from press reports that the CDWR contracts do not cover the entire net short, at least through the summer of 2001. </w:t>
      </w:r>
      <w:r>
        <w:rPr>
          <w:b/>
        </w:rPr>
        <w:t>[[cite]]</w:t>
      </w:r>
      <w:r>
        <w:rPr/>
        <w:t xml:space="preserve"> Thus, at least a portion of the net short for this summer will have to be procured through the spot market, at prices well in excess of the 5-year average price. Based on this, it is likely that the all-in price of power supplied by CDWR for 2001 will be in excess of $79 per MWh. </w:t>
      </w:r>
    </w:p>
    <w:p>
      <w:pPr>
        <w:pStyle w:val="text"/>
        <w:rPr/>
      </w:pPr>
      <w:r>
        <w:rPr/>
        <w:t>As noted in IEP’s opening testimony, the costs of these short-term agreements (including spot market purchases, to the degree necessary) can be used to determine short-run IER and O&amp;M adder proxies. However, the term of the purchases and the gas price must match the term over which the IER and O&amp;M adder will apply. If the IER and O&amp;M adder are to be in effect for a one year period, then the expected value of the cost of CDWR’s purchases for that particular year and the expected value of natural gas should be used to determine the IER and O&amp;M adder. However, as noted in IEP’s Opening Testimony, these data are not publicly available, which is why IEP proposed to use daily power prices until such time as the prices for longer-term forward power purchases are more transparent.</w:t>
      </w:r>
      <w:r>
        <w:rPr>
          <w:rStyle w:val="FootnoteCharacters"/>
          <w:rStyle w:val="FootnoteReference"/>
        </w:rPr>
        <w:footnoteReference w:id="6"/>
      </w:r>
    </w:p>
    <w:p>
      <w:pPr>
        <w:pStyle w:val="text"/>
        <w:rPr/>
      </w:pPr>
      <w:r>
        <w:rPr/>
        <w:t>Witness Davis’ proposal suggests determining short-run avoided costs based on long-run contracts and gas prices. This is clearly inappropriate for the determination of short-run avoided costs. The near-term costs that are avoided by the long-term CDWR agreements are clearly higher than the price of those in the long-term contracts. Using these long-run avoided costs to determine IER and O&amp;M adder for the determination of SRAC is as inappropriate as using instantaneous spot power and gas prices as the basis for the determination of long-run avoided costs.</w:t>
      </w:r>
    </w:p>
    <w:p>
      <w:pPr>
        <w:pStyle w:val="text"/>
        <w:rPr/>
      </w:pPr>
      <w:r>
        <w:rPr/>
        <w:t>In order to use Witness Davis’ proposal to determine short-run avoided costs, the contract prices and fuel costs would need to be based on short-run values. With this modification, Witness Davis’ approach becomes consistent with IEP’s proposed proxy approach.</w:t>
      </w:r>
      <w:r>
        <w:rPr>
          <w:rStyle w:val="FootnoteCharacters"/>
          <w:rStyle w:val="FootnoteReference"/>
        </w:rPr>
        <w:footnoteReference w:id="7"/>
      </w:r>
    </w:p>
    <w:p>
      <w:pPr>
        <w:pStyle w:val="text"/>
        <w:rPr/>
      </w:pPr>
      <w:r>
        <w:rPr/>
        <w:t xml:space="preserve">For this reason, the Commission should give no weight to Witness Davis’ proposal (to the degree that he recommends that long-run power and gas prices be used for determining short-run avoided costs) unless the proposal is modified so that the power and gas prices are both short-term price forecasts (i.e., 1 year). </w:t>
      </w:r>
    </w:p>
    <w:p>
      <w:pPr>
        <w:pStyle w:val="text"/>
        <w:rPr/>
      </w:pPr>
      <w:r>
        <w:rPr/>
      </w:r>
    </w:p>
    <w:p>
      <w:pPr>
        <w:pStyle w:val="text"/>
        <w:numPr>
          <w:ilvl w:val="0"/>
          <w:numId w:val="4"/>
        </w:numPr>
        <w:tabs>
          <w:tab w:val="clear" w:pos="720"/>
          <w:tab w:val="left" w:pos="1440" w:leader="none"/>
        </w:tabs>
        <w:ind w:hanging="720" w:start="1440" w:end="0"/>
        <w:rPr/>
      </w:pPr>
      <w:r>
        <w:rPr>
          <w:b/>
        </w:rPr>
        <w:t>With Modifications, Witness Davis’ Proposal Has Merit For Determining a Long-Run Pricing Option</w:t>
      </w:r>
      <w:r>
        <w:rPr/>
        <w:t xml:space="preserve"> </w:t>
      </w:r>
    </w:p>
    <w:p>
      <w:pPr>
        <w:pStyle w:val="text"/>
        <w:ind w:hanging="0" w:end="0"/>
        <w:rPr/>
      </w:pPr>
      <w:r>
        <w:rPr/>
      </w:r>
    </w:p>
    <w:p>
      <w:pPr>
        <w:pStyle w:val="text"/>
        <w:rPr/>
      </w:pPr>
      <w:r>
        <w:rPr/>
        <w:t xml:space="preserve">Witness Davis’s proposal indicates that an IER/O&amp;M adder pair could be developed based on the average price of a portfolio of long-term contracts that match the expected delivery pattern of QF generation. </w:t>
      </w:r>
    </w:p>
    <w:p>
      <w:pPr>
        <w:pStyle w:val="text"/>
        <w:rPr/>
      </w:pPr>
      <w:r>
        <w:rPr/>
        <w:t>His approach relies on knowledge of long-term power prices and a gas price.</w:t>
      </w:r>
      <w:r>
        <w:rPr>
          <w:rStyle w:val="FootnoteCharacters"/>
          <w:rStyle w:val="FootnoteReference"/>
        </w:rPr>
        <w:footnoteReference w:id="8"/>
      </w:r>
      <w:r>
        <w:rPr/>
        <w:t xml:space="preserve"> While using long-run power and gas prices for determining short-run avoided utility costs is unreasonable, the approach could possibly be useful to the extent that it is applied appropriately. Witness Davis’ proposal for determining the long-run IER/O&amp;M adder pair could be used to determine </w:t>
      </w:r>
      <w:r>
        <w:rPr>
          <w:u w:val="single"/>
        </w:rPr>
        <w:t>long-run</w:t>
      </w:r>
      <w:r>
        <w:rPr/>
        <w:t xml:space="preserve"> avoided costs. However, the following modifications to the proposal are necessary:</w:t>
      </w:r>
    </w:p>
    <w:p>
      <w:pPr>
        <w:pStyle w:val="text"/>
        <w:numPr>
          <w:ilvl w:val="0"/>
          <w:numId w:val="3"/>
        </w:numPr>
        <w:rPr/>
      </w:pPr>
      <w:r>
        <w:rPr/>
        <w:t>Receiving payments based on long-run avoided costs must be voluntary. It would be inappropriate to force all QFs to accept long-run avoided cost payments. For example, some QF contracts terminate in the next year. Thus, those QFs should be paid the avoided costs for the period during which they deliver power.</w:t>
      </w:r>
    </w:p>
    <w:p>
      <w:pPr>
        <w:pStyle w:val="text"/>
        <w:numPr>
          <w:ilvl w:val="0"/>
          <w:numId w:val="3"/>
        </w:numPr>
        <w:rPr/>
      </w:pPr>
      <w:r>
        <w:rPr/>
        <w:t>The factors that are used to determine the long-run IER and O&amp;M adder must be publicly available. In order to determine the LRAC, Witness Davis assumes the availability of publicly-available information on future power and natural gas prices. If these data are not readily available (e.g., CDWR is unwilling to disclose the nature of its long-term contracts), then the LRAC cannot be determined.</w:t>
      </w:r>
    </w:p>
    <w:p>
      <w:pPr>
        <w:pStyle w:val="text"/>
        <w:rPr/>
      </w:pPr>
      <w:r>
        <w:rPr/>
        <w:t>With the modifications outlined above, IEP would support the development of a new, longer-term pricing option for QFs based on forward power and natural gas prices. Offering a long-run pricing option has several benefits. First, it is consistent with a prior proposed decision regarding QF pricing.</w:t>
      </w:r>
      <w:r>
        <w:rPr>
          <w:rStyle w:val="FootnoteCharacters"/>
          <w:rStyle w:val="FootnoteReference"/>
        </w:rPr>
        <w:footnoteReference w:id="9"/>
      </w:r>
      <w:r>
        <w:rPr/>
        <w:t xml:space="preserve"> Second, the approach would provide a certain amount of pricing stability, which could prove beneficial to both SCE’s customers and to certain QFs.  Customers would benefit because a portion of QF payments would be tied to long-run prices, thereby reducing the risk of significant cost increases if gas prices were to spike. Some QFs would benefit because the long-run pricing option would provide price certainty to generators that were unable to hedge gas price volatility. </w:t>
      </w:r>
    </w:p>
    <w:sectPr>
      <w:headerReference w:type="default" r:id="rId6"/>
      <w:headerReference w:type="first" r:id="rId7"/>
      <w:footerReference w:type="default" r:id="rId8"/>
      <w:footerReference w:type="first" r:id="rId9"/>
      <w:footnotePr>
        <w:numFmt w:val="decimal"/>
      </w:footnotePr>
      <w:type w:val="nextPage"/>
      <w:pgSz w:w="12240" w:h="15840"/>
      <w:pgMar w:left="1800" w:right="1800" w:gutter="0" w:header="720" w:top="1440" w:footer="720" w:bottom="1440"/>
      <w:lnNumType w:countBy="1" w:restart="newPage" w:distance="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\@"MMMM\ d', 'yyyy" </w:instrText>
    </w:r>
    <w:r>
      <w:rPr/>
      <w:fldChar w:fldCharType="separate"/>
    </w:r>
    <w:r>
      <w:rPr/>
      <w:t>September 28, 2025</w:t>
    </w:r>
    <w:r>
      <w:rPr/>
      <w:fldChar w:fldCharType="end"/>
    </w:r>
    <w:r>
      <w:rPr/>
      <w:t xml:space="preserve"> </w:t>
    </w:r>
    <w:r>
      <w:rPr/>
      <w:t xml:space="preserve">at </w:t>
    </w:r>
    <w:r>
      <w:rPr/>
      <w:fldChar w:fldCharType="begin"/>
    </w:r>
    <w:r>
      <w:rPr/>
      <w:instrText xml:space="preserve"> TIME \@"H:mm\ AM/PM" </w:instrText>
    </w:r>
    <w:r>
      <w:rPr/>
      <w:fldChar w:fldCharType="separate"/>
    </w:r>
    <w:r>
      <w:rPr/>
      <w:t>8:46 AM</w:t>
    </w:r>
    <w:r>
      <w:rPr/>
      <w:fldChar w:fldCharType="end"/>
    </w:r>
    <w:r>
      <w:rPr/>
      <w:tab/>
      <w:tab/>
    </w:r>
    <w:r>
      <w:rPr>
        <w:i/>
      </w:rPr>
      <w:t>MRW &amp; Associates, Inc.</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\@"MMMM\ d', 'yyyy" </w:instrText>
    </w:r>
    <w:r>
      <w:rPr/>
      <w:fldChar w:fldCharType="separate"/>
    </w:r>
    <w:r>
      <w:rPr/>
      <w:t>September 28, 2025</w:t>
    </w:r>
    <w:r>
      <w:rPr/>
      <w:fldChar w:fldCharType="end"/>
    </w:r>
    <w:r>
      <w:rPr/>
      <w:t xml:space="preserve"> </w:t>
    </w:r>
    <w:r>
      <w:rPr/>
      <w:t xml:space="preserve">at </w:t>
    </w:r>
    <w:r>
      <w:rPr/>
      <w:fldChar w:fldCharType="begin"/>
    </w:r>
    <w:r>
      <w:rPr/>
      <w:instrText xml:space="preserve"> TIME \@"H:mm\ AM/PM" </w:instrText>
    </w:r>
    <w:r>
      <w:rPr/>
      <w:fldChar w:fldCharType="separate"/>
    </w:r>
    <w:r>
      <w:rPr/>
      <w:t>8:46 AM</w:t>
    </w:r>
    <w:r>
      <w:rPr/>
      <w:fldChar w:fldCharType="end"/>
    </w:r>
    <w:r>
      <w:rPr/>
      <w:tab/>
      <w:tab/>
    </w:r>
    <w:r>
      <w:rPr>
        <w:i/>
      </w:rPr>
      <w:t>MRW &amp; Associates, Inc.</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Opening Testimony of Southern California Edison Company (U 338-E) Concerning the IER and O&amp;M Components of the Transition Formula, May 7, 2001.</w:t>
      </w:r>
    </w:p>
  </w:footnote>
  <w:footnote w:id="3">
    <w:p>
      <w:pPr>
        <w:pStyle w:val="FootnoteText"/>
        <w:rPr/>
      </w:pPr>
      <w:r>
        <w:rPr>
          <w:rStyle w:val="FootnoteCharacters"/>
        </w:rPr>
        <w:footnoteRef/>
      </w:r>
      <w:r>
        <w:rPr/>
        <w:t xml:space="preserve"> </w:t>
      </w:r>
      <w:r>
        <w:rPr/>
        <w:t>Id., pages 7-8</w:t>
      </w:r>
    </w:p>
  </w:footnote>
  <w:footnote w:id="4">
    <w:p>
      <w:pPr>
        <w:pStyle w:val="FootnoteText"/>
        <w:rPr/>
      </w:pPr>
      <w:r>
        <w:rPr>
          <w:rStyle w:val="FootnoteCharacters"/>
        </w:rPr>
        <w:footnoteRef/>
      </w:r>
      <w:r>
        <w:rPr/>
        <w:t xml:space="preserve"> </w:t>
      </w:r>
      <w:r>
        <w:rPr/>
        <w:t>Id., page 7.</w:t>
      </w:r>
    </w:p>
  </w:footnote>
  <w:footnote w:id="5">
    <w:p>
      <w:pPr>
        <w:pStyle w:val="text"/>
        <w:spacing w:lineRule="auto" w:line="240"/>
        <w:rPr/>
      </w:pPr>
      <w:r>
        <w:rPr>
          <w:rStyle w:val="FootnoteCharacters"/>
        </w:rPr>
        <w:footnoteRef/>
      </w:r>
      <w:r>
        <w:rPr/>
        <w:t xml:space="preserve"> </w:t>
      </w:r>
      <w:r>
        <w:rPr>
          <w:sz w:val="20"/>
        </w:rPr>
        <w:t>By definition, a utility’s avoided cost of energy is the incremental cost that the utility would incur to produce or purchase energy but-for the purchase from QFs (18 CFR 292.101(b)(6)).</w:t>
      </w:r>
    </w:p>
    <w:p>
      <w:pPr>
        <w:pStyle w:val="text"/>
        <w:rPr/>
      </w:pPr>
      <w:r>
        <w:rPr/>
      </w:r>
    </w:p>
    <w:p>
      <w:pPr>
        <w:pStyle w:val="FootnoteText"/>
        <w:rPr/>
      </w:pPr>
      <w:r>
        <w:rPr/>
      </w:r>
    </w:p>
  </w:footnote>
  <w:footnote w:id="6">
    <w:p>
      <w:pPr>
        <w:pStyle w:val="FootnoteText"/>
        <w:rPr/>
      </w:pPr>
      <w:r>
        <w:rPr>
          <w:rStyle w:val="FootnoteCharacters"/>
        </w:rPr>
        <w:footnoteRef/>
      </w:r>
      <w:r>
        <w:rPr/>
        <w:t xml:space="preserve"> </w:t>
      </w:r>
      <w:r>
        <w:rPr/>
        <w:t>Opening Testimony Of The Independent Energy Producers Association Regarding Short-Run Avoided Costs, May 7, 2001.</w:t>
      </w:r>
    </w:p>
  </w:footnote>
  <w:footnote w:id="7">
    <w:p>
      <w:pPr>
        <w:pStyle w:val="FootnoteText"/>
        <w:rPr/>
      </w:pPr>
      <w:r>
        <w:rPr>
          <w:rStyle w:val="FootnoteCharacters"/>
        </w:rPr>
        <w:footnoteRef/>
      </w:r>
      <w:r>
        <w:rPr/>
        <w:t xml:space="preserve"> </w:t>
      </w:r>
      <w:r>
        <w:rPr/>
        <w:t>Id.</w:t>
      </w:r>
    </w:p>
  </w:footnote>
  <w:footnote w:id="8">
    <w:p>
      <w:pPr>
        <w:pStyle w:val="FootnoteText"/>
        <w:rPr/>
      </w:pPr>
      <w:r>
        <w:rPr>
          <w:rStyle w:val="FootnoteCharacters"/>
        </w:rPr>
        <w:footnoteRef/>
      </w:r>
      <w:r>
        <w:rPr/>
        <w:t xml:space="preserve"> </w:t>
      </w:r>
      <w:r>
        <w:rPr/>
        <w:t>Witness Davis’ testimony is inconsistent as to which gas price would be used to determine the IER-O&amp;M adder pair. At line 20 of page 8, he indicates that the appropriate gas price would be the “then-current fuel price”. However, on line 25 of the same page, he uses the “long-term levelized gas price” to determine his illustrative IER.</w:t>
      </w:r>
    </w:p>
  </w:footnote>
  <w:footnote w:id="9">
    <w:p>
      <w:pPr>
        <w:pStyle w:val="FootnoteText"/>
        <w:rPr/>
      </w:pPr>
      <w:r>
        <w:rPr>
          <w:rStyle w:val="FootnoteCharacters"/>
        </w:rPr>
        <w:footnoteRef/>
      </w:r>
      <w:r>
        <w:rPr/>
        <w:t xml:space="preserve"> </w:t>
      </w:r>
      <w:r>
        <w:rPr>
          <w:b/>
        </w:rPr>
        <w:t>[[Cite to Wood’s PD]]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b/>
      </w:rPr>
      <w:t>CONFIDENTIAL DRAFT – LITIGATION WORKPRODUCT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b/>
      </w:rPr>
      <w:t>CONFIDENTIAL DRAFT – LITIGATION WORKPRODUCT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648"/>
      </w:pPr>
      <w:rPr/>
    </w:lvl>
  </w:abstractNum>
  <w:abstractNum w:abstractNumId="3">
    <w:lvl w:ilvl="0">
      <w:start w:val="1"/>
      <w:numFmt w:val="decimal"/>
      <w:lvlText w:val="%1."/>
      <w:lvlJc w:val="start"/>
      <w:pPr>
        <w:tabs>
          <w:tab w:val="num" w:pos="1440"/>
        </w:tabs>
        <w:ind w:start="1440" w:hanging="720"/>
      </w:pPr>
      <w:rPr/>
    </w:lvl>
  </w:abstractNum>
  <w:abstractNum w:abstractNumId="4">
    <w:lvl w:ilvl="0">
      <w:start w:val="2"/>
      <w:numFmt w:val="upperLetter"/>
      <w:lvlText w:val="%1."/>
      <w:lvlJc w:val="start"/>
      <w:pPr>
        <w:tabs>
          <w:tab w:val="num" w:pos="1080"/>
        </w:tabs>
        <w:ind w:start="1080" w:hanging="360"/>
      </w:pPr>
      <w:rPr>
        <w:b/>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ind w:hanging="0" w:start="0" w:end="-270"/>
      <w:jc w:val="center"/>
      <w:outlineLvl w:val="3"/>
    </w:pPr>
    <w:rPr>
      <w:b/>
      <w:sz w:val="2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6z0">
    <w:name w:val="WW8Num6z0"/>
    <w:qFormat/>
    <w:rPr/>
  </w:style>
  <w:style w:type="character" w:styleId="WW8Num7z0">
    <w:name w:val="WW8Num7z0"/>
    <w:qFormat/>
    <w:rPr/>
  </w:style>
  <w:style w:type="character" w:styleId="WW8Num8z0">
    <w:name w:val="WW8Num8z0"/>
    <w:qFormat/>
    <w:rPr>
      <w:b/>
      <w:i w:val="false"/>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20z0">
    <w:name w:val="WW8Num20z0"/>
    <w:qFormat/>
    <w:rPr>
      <w:b/>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LineNumber">
    <w:name w:val="lin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rPr>
  </w:style>
  <w:style w:type="paragraph" w:styleId="BodyText">
    <w:name w:val="Body Text"/>
    <w:basedOn w:val="Normal"/>
    <w:pPr>
      <w:jc w:val="center"/>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rPr>
  </w:style>
  <w:style w:type="paragraph" w:styleId="QA">
    <w:name w:val="Q/A"/>
    <w:basedOn w:val="Normal"/>
    <w:qFormat/>
    <w:pPr>
      <w:spacing w:lineRule="auto" w:line="480"/>
      <w:ind w:hanging="720" w:start="720" w:end="0"/>
    </w:pPr>
    <w:rPr>
      <w:sz w:val="24"/>
    </w:rPr>
  </w:style>
  <w:style w:type="paragraph" w:styleId="HeadingI">
    <w:name w:val="Heading I"/>
    <w:basedOn w:val="Heading1"/>
    <w:qFormat/>
    <w:pPr>
      <w:numPr>
        <w:ilvl w:val="0"/>
        <w:numId w:val="0"/>
      </w:numPr>
      <w:spacing w:lineRule="auto" w:line="480" w:before="240" w:after="60"/>
      <w:outlineLvl w:val="9"/>
    </w:pPr>
    <w:rPr>
      <w:kern w:val="2"/>
    </w:rPr>
  </w:style>
  <w:style w:type="paragraph" w:styleId="FootnoteText">
    <w:name w:val="footnote text"/>
    <w:basedOn w:val="Normal"/>
    <w:pPr/>
    <w:rPr/>
  </w:style>
  <w:style w:type="paragraph" w:styleId="BodyTextIndent">
    <w:name w:val="Body Text Indent"/>
    <w:basedOn w:val="Normal"/>
    <w:pPr>
      <w:spacing w:lineRule="auto" w:line="360"/>
      <w:ind w:firstLine="720" w:start="0" w:end="0"/>
      <w:jc w:val="both"/>
    </w:pPr>
    <w:rPr>
      <w:rFonts w:ascii="Times" w:hAnsi="Times" w:eastAsia="Times" w:cs="Times"/>
      <w:sz w:val="24"/>
    </w:rPr>
  </w:style>
  <w:style w:type="paragraph" w:styleId="text">
    <w:name w:val="text"/>
    <w:basedOn w:val="Normal"/>
    <w:qFormat/>
    <w:pPr>
      <w:spacing w:lineRule="auto" w:line="360"/>
      <w:ind w:firstLine="720" w:start="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estimony">
    <w:name w:val="Testimony"/>
    <w:basedOn w:val="Normal"/>
    <w:qFormat/>
    <w:pPr>
      <w:spacing w:lineRule="auto" w:line="480"/>
      <w:ind w:hanging="720" w:start="720" w:end="0"/>
      <w:jc w:val="both"/>
    </w:pPr>
    <w:rPr>
      <w:sz w:val="24"/>
    </w:rPr>
  </w:style>
  <w:style w:type="paragraph" w:styleId="1AutoList1">
    <w:name w:val="1AutoList1"/>
    <w:qFormat/>
    <w:pPr>
      <w:widowControl/>
      <w:tabs>
        <w:tab w:val="left" w:pos="720" w:leader="none"/>
      </w:tabs>
      <w:bidi w:val="0"/>
      <w:ind w:hanging="720" w:start="720" w:end="0"/>
    </w:pPr>
    <w:rPr>
      <w:rFonts w:ascii="Times New Roman" w:hAnsi="Times New Roman" w:eastAsia="Times New Roman" w:cs="Times New Roman"/>
      <w:color w:val="auto"/>
      <w:sz w:val="24"/>
      <w:szCs w:val="20"/>
      <w:lang w:val="en-US" w:eastAsia="en-US" w:bidi="hi-IN"/>
    </w:rPr>
  </w:style>
  <w:style w:type="paragraph" w:styleId="ccList">
    <w:name w:val="ccList"/>
    <w:basedOn w:val="Normal"/>
    <w:qFormat/>
    <w:pPr>
      <w:ind w:hanging="720" w:start="720" w:end="0"/>
    </w:pPr>
    <w:rPr>
      <w:sz w:val="24"/>
    </w:rPr>
  </w:style>
  <w:style w:type="paragraph" w:styleId="BodyTextIndent2">
    <w:name w:val="Body Text Indent 2"/>
    <w:basedOn w:val="Normal"/>
    <w:qFormat/>
    <w:pPr>
      <w:ind w:hanging="0" w:start="72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2001-05-22T13:47:00Z</dcterms:created>
  <dc:creator>Suzie Kito</dc:creator>
  <dc:description/>
  <dc:language>en-CA</dc:language>
  <cp:lastModifiedBy>William A. Monsen</cp:lastModifiedBy>
  <cp:lastPrinted>2001-05-07T13:14:00Z</cp:lastPrinted>
  <dcterms:modified xsi:type="dcterms:W3CDTF">2001-05-22T17:26:00Z</dcterms:modified>
  <cp:revision>18</cp:revision>
  <dc:subject/>
  <dc:title>BEFORE THE PUBLIC UTILITIES COMMISSION</dc:title>
</cp:coreProperties>
</file>