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35" w:type="dxa"/>
        <w:jc w:val="start"/>
        <w:tblInd w:w="827" w:type="dxa"/>
        <w:tblLayout w:type="fixed"/>
        <w:tblCellMar>
          <w:top w:w="0" w:type="dxa"/>
          <w:start w:w="0" w:type="dxa"/>
          <w:bottom w:w="0" w:type="dxa"/>
          <w:end w:w="0" w:type="dxa"/>
        </w:tblCellMar>
      </w:tblPr>
      <w:tblGrid>
        <w:gridCol w:w="5003"/>
        <w:gridCol w:w="3832"/>
      </w:tblGrid>
      <w:tr>
        <w:trPr>
          <w:trHeight w:val="720" w:hRule="atLeast"/>
        </w:trPr>
        <w:tc>
          <w:tcPr>
            <w:tcW w:w="5003" w:type="dxa"/>
            <w:tcBorders/>
          </w:tcPr>
          <w:p>
            <w:pPr>
              <w:pStyle w:val="ReturnAddress"/>
              <w:rPr/>
            </w:pPr>
            <w:r>
              <w:rPr/>
              <w:t>1112 “I” Street, Suite 380</w:t>
            </w:r>
          </w:p>
          <w:p>
            <w:pPr>
              <w:pStyle w:val="ReturnAddress"/>
              <w:rPr/>
            </w:pPr>
            <w:r>
              <w:rPr/>
              <w:t>Sacramento, CA  95814-2836</w:t>
            </w:r>
          </w:p>
          <w:p>
            <w:pPr>
              <w:pStyle w:val="ReturnAddress"/>
              <w:rPr/>
            </w:pPr>
            <w:r>
              <w:rPr/>
              <w:t>Ph: 916-448-9499</w:t>
            </w:r>
          </w:p>
        </w:tc>
        <w:tc>
          <w:tcPr>
            <w:tcW w:w="3832" w:type="dxa"/>
            <w:tcBorders/>
            <w:shd w:fill="000000" w:val="clear"/>
            <w:tcMar>
              <w:start w:w="187" w:type="dxa"/>
              <w:end w:w="187" w:type="dxa"/>
            </w:tcMar>
            <w:vAlign w:val="center"/>
          </w:tcPr>
          <w:p>
            <w:pPr>
              <w:pStyle w:val="CompanyName"/>
              <w:rPr/>
            </w:pPr>
            <w:r>
              <w:rPr/>
              <w:t>Independent Energy Producers</w:t>
            </w:r>
          </w:p>
        </w:tc>
      </w:tr>
    </w:tbl>
    <w:p>
      <w:pPr>
        <w:pStyle w:val="DocumentLabel"/>
        <w:rPr/>
      </w:pPr>
      <w:r>
        <w:rPr/>
        <w:t>Memo</w:t>
      </w:r>
    </w:p>
    <w:p>
      <w:pPr>
        <w:pStyle w:val="MessageHeaderFirst"/>
        <w:rPr/>
      </w:pPr>
      <w:r>
        <w:rPr>
          <w:rStyle w:val="MessageHeaderLabel"/>
          <w:spacing w:val="-25"/>
        </w:rPr>
        <w:t>T</w:t>
      </w:r>
      <w:r>
        <w:rPr>
          <w:rStyle w:val="MessageHeaderLabel"/>
        </w:rPr>
        <w:t>o:</w:t>
      </w:r>
      <w:r>
        <w:rPr/>
        <w:tab/>
        <w:t xml:space="preserve">Terry Winter, CAISO </w:t>
      </w:r>
    </w:p>
    <w:p>
      <w:pPr>
        <w:pStyle w:val="MessageHeader"/>
        <w:rPr/>
      </w:pPr>
      <w:r>
        <w:rPr/>
        <w:tab/>
        <w:t>CAISO Market Reform/Congestion Reform Team</w:t>
      </w:r>
    </w:p>
    <w:p>
      <w:pPr>
        <w:pStyle w:val="MessageHeader"/>
        <w:rPr/>
      </w:pPr>
      <w:r>
        <w:rPr>
          <w:rStyle w:val="MessageHeaderLabel"/>
        </w:rPr>
        <w:t>From:</w:t>
      </w:r>
      <w:r>
        <w:rPr/>
        <w:tab/>
        <w:t>Steven Kelly, Policy Director</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Comments on CAISO Staff Recommendation To Board on Congestion Management Reform</w:t>
      </w:r>
    </w:p>
    <w:p>
      <w:pPr>
        <w:pStyle w:val="BodyText"/>
        <w:rPr/>
      </w:pPr>
      <w:r>
        <w:rPr/>
        <w:t>The Independent Energy Producers Association (IEP) welcomes this opportunity to provide comments on the CAISO Staff Recommendation for Congestion Management Reform (dated August 29, 2000).  The Staff Recommendations are to be presented for approval to the ISO Governing Board on September 6-7, 2000.</w:t>
      </w:r>
    </w:p>
    <w:p>
      <w:pPr>
        <w:pStyle w:val="BodyText"/>
        <w:rPr/>
      </w:pPr>
      <w:r>
        <w:rPr/>
        <w:t>IEP has been an active participate in the CA-ISO’s stakeholder process culminating in the Staff Recommendation to the Board.  This process has been extensive, and open to all opinions.  In presenting its comments on the Staff Recommendation, IEP first discusses the overall design principles.  Second, IEP responds to the specific, itemized recommendations contained within the Staff Recommendation.</w:t>
      </w:r>
    </w:p>
    <w:p>
      <w:pPr>
        <w:pStyle w:val="BodyText"/>
        <w:rPr/>
      </w:pPr>
      <w:r>
        <w:rPr/>
      </w:r>
    </w:p>
    <w:p>
      <w:pPr>
        <w:pStyle w:val="BodyText"/>
        <w:rPr>
          <w:b/>
          <w:bCs/>
        </w:rPr>
      </w:pPr>
      <w:r>
        <w:rPr>
          <w:b/>
          <w:bCs/>
        </w:rPr>
        <w:t>Overall Design Principles</w:t>
      </w:r>
    </w:p>
    <w:p>
      <w:pPr>
        <w:pStyle w:val="BodyText"/>
        <w:rPr/>
      </w:pPr>
      <w:r>
        <w:rPr/>
        <w:t xml:space="preserve">IEP supports many of the design principles contained in the recommendations.  These design principles include:  </w:t>
      </w:r>
    </w:p>
    <w:p>
      <w:pPr>
        <w:pStyle w:val="BodyText"/>
        <w:numPr>
          <w:ilvl w:val="0"/>
          <w:numId w:val="12"/>
        </w:numPr>
        <w:rPr/>
      </w:pPr>
      <w:r>
        <w:rPr/>
        <w:t>Fostering stronger, more robust forward markets, thereby relieving pressure on the real-time market managed by the CAISO.</w:t>
      </w:r>
    </w:p>
    <w:p>
      <w:pPr>
        <w:pStyle w:val="BodyText"/>
        <w:numPr>
          <w:ilvl w:val="0"/>
          <w:numId w:val="12"/>
        </w:numPr>
        <w:rPr/>
      </w:pPr>
      <w:r>
        <w:rPr/>
        <w:t>Creating more locational price signals.</w:t>
      </w:r>
    </w:p>
    <w:p>
      <w:pPr>
        <w:pStyle w:val="BodyText"/>
        <w:numPr>
          <w:ilvl w:val="0"/>
          <w:numId w:val="12"/>
        </w:numPr>
        <w:rPr/>
      </w:pPr>
      <w:r>
        <w:rPr/>
        <w:t>Fostering congestion management through 100 percent release of Firm Transmission Rights (FTRs), including long-term and monthly releases, and recallable transmission service.</w:t>
      </w:r>
    </w:p>
    <w:p>
      <w:pPr>
        <w:pStyle w:val="BodyText"/>
        <w:numPr>
          <w:ilvl w:val="0"/>
          <w:numId w:val="12"/>
        </w:numPr>
        <w:rPr/>
      </w:pPr>
      <w:r>
        <w:rPr/>
        <w:t>Provision of information to enable the market to schedule more accurately.</w:t>
      </w:r>
    </w:p>
    <w:p>
      <w:pPr>
        <w:pStyle w:val="BodyText"/>
        <w:ind w:start="1195" w:end="0"/>
        <w:rPr/>
      </w:pPr>
      <w:r>
        <w:rPr/>
      </w:r>
    </w:p>
    <w:p>
      <w:pPr>
        <w:pStyle w:val="BodyText"/>
        <w:rPr/>
      </w:pPr>
      <w:r>
        <w:rPr/>
        <w:t>IEP has concerns about the lack of specificity regarding other key design principles and elements.  Furthermore, IEP is concerned that there are little, if any, objective criteria for market participants to assess when, if ever, the design principles associated with mitigating market power would be deemed unnecessary.</w:t>
      </w:r>
    </w:p>
    <w:p>
      <w:pPr>
        <w:pStyle w:val="BodyText"/>
        <w:rPr/>
      </w:pPr>
      <w:r>
        <w:rPr/>
      </w:r>
    </w:p>
    <w:p>
      <w:pPr>
        <w:pStyle w:val="BodyText"/>
        <w:rPr>
          <w:b/>
          <w:bCs/>
        </w:rPr>
      </w:pPr>
      <w:r>
        <w:rPr>
          <w:b/>
          <w:bCs/>
        </w:rPr>
        <w:t>Market Power Mitigation</w:t>
      </w:r>
    </w:p>
    <w:p>
      <w:pPr>
        <w:pStyle w:val="BodyText"/>
        <w:rPr/>
      </w:pPr>
      <w:r>
        <w:rPr/>
        <w:t xml:space="preserve">IEP has consistently and steadfastly argued since the beginning of industry restructuring that the market requires protections against the exercise of market power.  We also have argued that it is </w:t>
      </w:r>
      <w:r>
        <w:rPr>
          <w:u w:val="single"/>
        </w:rPr>
        <w:t>the exercise</w:t>
      </w:r>
      <w:r>
        <w:rPr/>
        <w:t xml:space="preserve"> of market power, not the presence of market power, which undermines the marketplace.  Furthermore, during the stakeholder process, IEP argued for developing a rational, authoritative means to (1) identify the exercise of market power, and (2) penalize those who exercise it.  In the absence of any alternative, we recommended that the FERC be the regulatory body with the final responsibility to make these determinations.</w:t>
      </w:r>
    </w:p>
    <w:p>
      <w:pPr>
        <w:pStyle w:val="BodyText"/>
        <w:rPr/>
      </w:pPr>
      <w:r>
        <w:rPr/>
        <w:t xml:space="preserve">IEP observes that the Staff Recommendation fails to address the critical issue of identifying and penalizing the exercise of market power.  Rather, the Staff Recommendation seeks to fundamentally alter the marketplace, and the role of the CAISO in that marketplace, in order to prevent the creation of an opportunity to exercise market power.  IEP believes that the cart is before the horse.   </w:t>
      </w:r>
    </w:p>
    <w:p>
      <w:pPr>
        <w:pStyle w:val="BodyText"/>
        <w:rPr/>
      </w:pPr>
      <w:r>
        <w:rPr/>
        <w:t xml:space="preserve">As evidence that the market is being fundamentally altered from original design concepts in order to eliminate </w:t>
      </w:r>
      <w:r>
        <w:rPr>
          <w:u w:val="single"/>
        </w:rPr>
        <w:t>the opportunity to exercise</w:t>
      </w:r>
      <w:r>
        <w:rPr/>
        <w:t xml:space="preserve"> market power, IEP notes that the Staff Recommendation would have the CAISO (1) procure needed peaking resources in forward markets, (2) determine cost-based pricing for many market participants located in areas where competition is deemed by the CAISO to be insufficient, and then require these market participants to participate in a forward market at cost-based pricing that fails to cover their full costs, and (3) optimize system dispatch using engineering models rather tan price signals.</w:t>
      </w:r>
    </w:p>
    <w:p>
      <w:pPr>
        <w:pStyle w:val="BodyText"/>
        <w:rPr/>
      </w:pPr>
      <w:r>
        <w:rPr/>
        <w:t>This approach raises a number of fundamental concerns.</w:t>
      </w:r>
    </w:p>
    <w:p>
      <w:pPr>
        <w:pStyle w:val="BodyText"/>
        <w:rPr/>
      </w:pPr>
      <w:r>
        <w:rPr>
          <w:b/>
          <w:bCs/>
        </w:rPr>
        <w:t>Creates The Conditions For Further Expansion Of The CAISO As Default Provider</w:t>
      </w:r>
      <w:r>
        <w:rPr/>
        <w:t>.  Presuming the authorities provided the CAISO under the Staff Recommendation, load-serving entities (LSEs) may have little, if any, incentive to actually plan and procure on their own to meet their resource requirements.  Why assume the risk and responsibility if it is unnecessary?  Ultimately, a spiral effect may occur:  CAISO responsibilities increase; LSEs defer; CAISO responsibilities increase.  IEP is concerned that the Staff Recommendation will create a vacuum of responsibility, resulting in the CAISO exercising an even greater role in the marketplace as resource planner and procurer, ultimately to the detriment of a properly functioning marketplace characterized by many buyers and sellers, bilateral trades, and the self-provision of resources.</w:t>
      </w:r>
    </w:p>
    <w:p>
      <w:pPr>
        <w:pStyle w:val="BodyText"/>
        <w:rPr/>
      </w:pPr>
      <w:r>
        <w:rPr>
          <w:b/>
          <w:bCs/>
        </w:rPr>
        <w:t>Evisceration of competitive markets</w:t>
      </w:r>
      <w:r>
        <w:rPr/>
        <w:t>.  Presently, IOU controlled generation (including nuclear, hydro, and QF resources) are price takers in the market.  These resources represent approximately 20,000 MWs of supply or approximately 44% of the CAISO control area peak (assuming 45,000 MW peak).  The Staff Recommendation would create eleven (11) new zones and then declare eight (8) as non-competitive, The Staff Recommendation would have the generation in these eight zones bid in the forward capacity market a specified amount of capacity with the obligation to dispose of the associated energy at their own risk.   IEP believes that these non-competitive zones contain at least 10,000 MWs of generation (6,000 MWs of RMR plus additional resources).  Under the Staff Recommendation, these resources would be required to schedule in a single, forward market, essentially removing them from the marketplace (bilateral and otherwise).  Under these assumptions, 65% of the in-state generation is “out of the market.”  What’s left?  How many hours will be functionally non-competitive due to the must-run requirements imposed under the Staff Recommendation?</w:t>
      </w:r>
    </w:p>
    <w:p>
      <w:pPr>
        <w:pStyle w:val="BodyText"/>
        <w:rPr/>
      </w:pPr>
      <w:r>
        <w:rPr>
          <w:b/>
          <w:bCs/>
        </w:rPr>
        <w:t>Lack of Measures To Determine If, When Competitive Markets Emerge</w:t>
      </w:r>
      <w:r>
        <w:rPr/>
        <w:t xml:space="preserve">.  The Staff Recommendation remains silent on how to determine if (or when) Locational Price Areas (LPAs) are competitive.  The Recommendation contains no object criteria for determining when the marketplace might “build” itself into a competitive marketplace.     How much generation capacity within each LPA would be required:  150%?  120%?  110%?  Presently, the criteria for determining if market power exists are “we know it when we see it.”  IEP suggests that it is critical for the CAISO to develop criteria for lifting the bid-cap pricing mechanism that it seeks to impose on all “non-competitive” LPAs.  Criteria for determining when a LPA is competitive will be critical to incent new investment, as developers will assess the likelihood that a plant at a particular location will be allowed to compete in the marketplace rather than face CAISO imposed bid-caps in a forward capacity market.  Fundamentally, as a matter of market design, the marketplace needs to fully understand the extent to which the creation of non-competitive LPAs hinders a robust market and for how long.  </w:t>
      </w:r>
    </w:p>
    <w:p>
      <w:pPr>
        <w:pStyle w:val="BodyText"/>
        <w:rPr/>
      </w:pPr>
      <w:r>
        <w:rPr/>
        <w:t>In addition to the comments provided above regarding design principles, IEP offers the following specific comments to the itemized positions contained in the Staff Recommendation.</w:t>
      </w:r>
    </w:p>
    <w:p>
      <w:pPr>
        <w:pStyle w:val="Normal"/>
        <w:jc w:val="both"/>
        <w:rPr/>
      </w:pPr>
      <w:r>
        <w:rPr/>
        <w:t>1.</w:t>
        <w:tab/>
      </w:r>
      <w:r>
        <w:rPr>
          <w:u w:val="single"/>
        </w:rPr>
        <w:t>Introduction</w:t>
      </w:r>
    </w:p>
    <w:p>
      <w:pPr>
        <w:pStyle w:val="Normal"/>
        <w:jc w:val="both"/>
        <w:rPr/>
      </w:pPr>
      <w:r>
        <w:rPr/>
      </w:r>
    </w:p>
    <w:p>
      <w:pPr>
        <w:pStyle w:val="Normal"/>
        <w:jc w:val="both"/>
        <w:rPr/>
      </w:pPr>
      <w:r>
        <w:rPr/>
        <w:t xml:space="preserve">In addition to the six policy issues identified by the Staff, we believe there are a number of issues, as discussed below, in which alternatives exist.  </w:t>
      </w:r>
    </w:p>
    <w:p>
      <w:pPr>
        <w:pStyle w:val="Normal"/>
        <w:jc w:val="both"/>
        <w:rPr/>
      </w:pPr>
      <w:r>
        <w:rPr/>
      </w:r>
    </w:p>
    <w:p>
      <w:pPr>
        <w:pStyle w:val="Normal"/>
        <w:jc w:val="both"/>
        <w:rPr/>
      </w:pPr>
      <w:r>
        <w:rPr/>
        <w:t>We agree with the Staff’s statement that the more self-provision that occurs the better and hope that there can be some financial teeth added to the requirement.</w:t>
      </w:r>
    </w:p>
    <w:p>
      <w:pPr>
        <w:pStyle w:val="Normal"/>
        <w:jc w:val="both"/>
        <w:rPr/>
      </w:pPr>
      <w:r>
        <w:rPr/>
      </w:r>
    </w:p>
    <w:p>
      <w:pPr>
        <w:pStyle w:val="Normal"/>
        <w:jc w:val="both"/>
        <w:rPr/>
      </w:pPr>
      <w:r>
        <w:rPr/>
        <w:t>2.</w:t>
        <w:tab/>
      </w:r>
      <w:r>
        <w:rPr>
          <w:u w:val="single"/>
        </w:rPr>
        <w:t>Provision of Information</w:t>
      </w:r>
    </w:p>
    <w:p>
      <w:pPr>
        <w:pStyle w:val="Normal"/>
        <w:jc w:val="both"/>
        <w:rPr/>
      </w:pPr>
      <w:r>
        <w:rPr/>
      </w:r>
    </w:p>
    <w:p>
      <w:pPr>
        <w:pStyle w:val="BodyText"/>
        <w:rPr/>
      </w:pPr>
      <w:r>
        <w:rPr/>
        <w:t>We commend the Staff for recognizing the need to disclose non-confidential data to the market.  The more information that becomes available to utilize by SC’s the more efficient the market will become.  We also support the unveiling of several “black boxes” that exist at the ISO and realize the difficulty now lies with information dissemination.</w:t>
      </w:r>
    </w:p>
    <w:p>
      <w:pPr>
        <w:pStyle w:val="Normal"/>
        <w:jc w:val="both"/>
        <w:rPr/>
      </w:pPr>
      <w:r>
        <w:rPr/>
        <w:t>3.</w:t>
        <w:tab/>
      </w:r>
      <w:r>
        <w:rPr>
          <w:u w:val="single"/>
        </w:rPr>
        <w:t>Design Principles</w:t>
      </w:r>
    </w:p>
    <w:p>
      <w:pPr>
        <w:pStyle w:val="Normal"/>
        <w:jc w:val="both"/>
        <w:rPr/>
      </w:pPr>
      <w:r>
        <w:rPr/>
      </w:r>
    </w:p>
    <w:p>
      <w:pPr>
        <w:pStyle w:val="Normal"/>
        <w:jc w:val="both"/>
        <w:rPr/>
      </w:pPr>
      <w:r>
        <w:rPr/>
        <w:t>We support the shaping of forward markets that will become more reflective of real-time operational conditions.</w:t>
      </w:r>
    </w:p>
    <w:p>
      <w:pPr>
        <w:pStyle w:val="Normal"/>
        <w:ind w:firstLine="720" w:start="0" w:end="0"/>
        <w:jc w:val="both"/>
        <w:rPr/>
      </w:pPr>
      <w:r>
        <w:rPr/>
        <w:tab/>
      </w:r>
      <w:r>
        <w:rPr>
          <w:u w:val="single"/>
        </w:rPr>
        <w:t>Locational Price Areas</w:t>
      </w:r>
    </w:p>
    <w:p>
      <w:pPr>
        <w:pStyle w:val="Normal"/>
        <w:jc w:val="both"/>
        <w:rPr>
          <w:u w:val="single"/>
        </w:rPr>
      </w:pPr>
      <w:r>
        <w:rPr>
          <w:u w:val="single"/>
        </w:rPr>
      </w:r>
    </w:p>
    <w:p>
      <w:pPr>
        <w:pStyle w:val="Normal"/>
        <w:jc w:val="both"/>
        <w:rPr/>
      </w:pPr>
      <w:r>
        <w:rPr/>
        <w:t>The Staff has indicated that there will be 11 LPA’s within the ISO control area.  The large majority, if not all of these LPA’s will be non-competitive.  Our question to the Staff is what will be the process and ongoing criteria used to evaluate the competitiveness of these LPA’s and what will be done to ensure that a competitive market is the preferred outcome?</w:t>
      </w:r>
    </w:p>
    <w:p>
      <w:pPr>
        <w:pStyle w:val="Normal"/>
        <w:jc w:val="both"/>
        <w:rPr/>
      </w:pPr>
      <w:r>
        <w:rPr/>
      </w:r>
    </w:p>
    <w:p>
      <w:pPr>
        <w:pStyle w:val="Normal"/>
        <w:jc w:val="both"/>
        <w:rPr/>
      </w:pPr>
      <w:r>
        <w:rPr/>
        <w:t>18.</w:t>
        <w:tab/>
      </w:r>
      <w:r>
        <w:rPr>
          <w:u w:val="single"/>
        </w:rPr>
        <w:t>Real-time Dispatch</w:t>
      </w:r>
    </w:p>
    <w:p>
      <w:pPr>
        <w:pStyle w:val="Normal"/>
        <w:jc w:val="both"/>
        <w:rPr/>
      </w:pPr>
      <w:r>
        <w:rPr/>
      </w:r>
    </w:p>
    <w:p>
      <w:pPr>
        <w:pStyle w:val="Normal"/>
        <w:jc w:val="both"/>
        <w:rPr/>
      </w:pPr>
      <w:r>
        <w:rPr/>
        <w:t xml:space="preserve">During Real-Time Intra-Zonal congestion the Staff has indicated that they will resolve any real-time intra-zonal congestion outside of any transparent operational program.  This causes a substantial amount of concern not just in the way the ISO plans to resolve it but also in the payment methodology which states: “dispatched energy from the contingency capacity procured in the forward LRS market, at a </w:t>
      </w:r>
      <w:r>
        <w:rPr>
          <w:i/>
          <w:iCs/>
        </w:rPr>
        <w:t>market power mitigated energy price</w:t>
      </w:r>
      <w:r>
        <w:rPr/>
        <w:t>”. This price is a brand new term and one, which has not been discussed or defined in any oral or written forum.</w:t>
      </w:r>
    </w:p>
    <w:p>
      <w:pPr>
        <w:pStyle w:val="Normal"/>
        <w:jc w:val="both"/>
        <w:rPr/>
      </w:pPr>
      <w:r>
        <w:rPr/>
      </w:r>
    </w:p>
    <w:p>
      <w:pPr>
        <w:pStyle w:val="BodyText"/>
        <w:rPr/>
      </w:pPr>
      <w:r>
        <w:rPr/>
        <w:t>The mitigation of intra-zonal congestion is a substantial matter that should not be blindly adopted without further investigation and discussions.</w:t>
      </w:r>
    </w:p>
    <w:p>
      <w:pPr>
        <w:pStyle w:val="Normal"/>
        <w:jc w:val="both"/>
        <w:rPr/>
      </w:pPr>
      <w:r>
        <w:rPr/>
        <w:t>23.</w:t>
        <w:tab/>
      </w:r>
      <w:r>
        <w:rPr>
          <w:u w:val="single"/>
        </w:rPr>
        <w:t>Day-Ahead and Hour-Ahead Congestion Mitigation</w:t>
      </w:r>
    </w:p>
    <w:p>
      <w:pPr>
        <w:pStyle w:val="Normal"/>
        <w:jc w:val="both"/>
        <w:rPr>
          <w:u w:val="single"/>
        </w:rPr>
      </w:pPr>
      <w:r>
        <w:rPr>
          <w:u w:val="single"/>
        </w:rPr>
      </w:r>
    </w:p>
    <w:p>
      <w:pPr>
        <w:pStyle w:val="Normal"/>
        <w:jc w:val="both"/>
        <w:rPr/>
      </w:pPr>
      <w:r>
        <w:rPr/>
        <w:t>IEP agrees with maintaining the Market Separation rule as it exists today which will allow SC’s to maintain balanced portfolios in the forward markets.  This will also be an excellent forum to address the current “dec gaming” that is happening in the forward markets.</w:t>
      </w:r>
    </w:p>
    <w:p>
      <w:pPr>
        <w:pStyle w:val="Normal"/>
        <w:jc w:val="both"/>
        <w:rPr/>
      </w:pPr>
      <w:r>
        <w:rPr/>
      </w:r>
    </w:p>
    <w:p>
      <w:pPr>
        <w:pStyle w:val="Normal"/>
        <w:jc w:val="both"/>
        <w:rPr/>
      </w:pPr>
      <w:r>
        <w:rPr/>
        <w:t>26.</w:t>
        <w:tab/>
      </w:r>
      <w:r>
        <w:rPr>
          <w:u w:val="single"/>
        </w:rPr>
        <w:t>Procurement of Ancillary Services</w:t>
      </w:r>
    </w:p>
    <w:p>
      <w:pPr>
        <w:pStyle w:val="Normal"/>
        <w:jc w:val="both"/>
        <w:rPr/>
      </w:pPr>
      <w:r>
        <w:rPr/>
      </w:r>
    </w:p>
    <w:p>
      <w:pPr>
        <w:pStyle w:val="BodyText"/>
        <w:rPr/>
      </w:pPr>
      <w:r>
        <w:rPr/>
        <w:t>Ancillary Services should be procured consistent with the service area they are benefiting.  For example, if the ISO does not split the zones A/S is procured on a control area basis and allocated to load as such.  If the ISO does split the zones the A/S is procured per zone separately and allocated zonaly.  We support maintaining this procurement and allocation methodology that exists today if the ISO were to implement the new Locational Price Areas.  The Load Serving Entities (LSE) within those LPA’s should be procuring and allocating A/S within the areas on behalf of their customers.  The ISO should only be procuring A/S as the provider of last resort.  If the ISO were to procure and allocate on a LPA basis, LSE’s will have financial incentive to procure A/S in forward markets.</w:t>
      </w:r>
    </w:p>
    <w:p>
      <w:pPr>
        <w:pStyle w:val="BodyText"/>
        <w:rPr/>
      </w:pPr>
      <w:r>
        <w:rPr/>
        <w:t>29.</w:t>
        <w:tab/>
      </w:r>
      <w:r>
        <w:rPr>
          <w:u w:val="single"/>
        </w:rPr>
        <w:t>Validation Rules</w:t>
      </w:r>
      <w:r>
        <w:rPr/>
        <w:tab/>
        <w:tab/>
      </w:r>
    </w:p>
    <w:p>
      <w:pPr>
        <w:pStyle w:val="BodyText"/>
        <w:rPr/>
      </w:pPr>
      <w:r>
        <w:rPr/>
        <w:t>Within the proposal the Staff is implying that they do not want LRS units to be scheduled in the markets.  We believe that this is the wrong message to send.  The recommendation should incentives Local Reliability Services to be procured through the markets so that the ISO does not have to procure it.</w:t>
      </w:r>
    </w:p>
    <w:p>
      <w:pPr>
        <w:pStyle w:val="BodyText"/>
        <w:rPr/>
      </w:pPr>
      <w:r>
        <w:rPr/>
        <w:t>30.</w:t>
        <w:tab/>
      </w:r>
      <w:r>
        <w:rPr>
          <w:u w:val="single"/>
        </w:rPr>
        <w:t>Recallable Transmission Services</w:t>
      </w:r>
    </w:p>
    <w:p>
      <w:pPr>
        <w:pStyle w:val="BodyText"/>
        <w:rPr/>
      </w:pPr>
      <w:r>
        <w:rPr/>
        <w:t>IEP supports a Recallable Transmission Service (RTS), which will enhance access to transmission and help prevent ‘phantom congestion’.</w:t>
      </w:r>
    </w:p>
    <w:p>
      <w:pPr>
        <w:pStyle w:val="BodyText"/>
        <w:rPr/>
      </w:pPr>
      <w:r>
        <w:rPr/>
        <w:t>31.</w:t>
        <w:tab/>
      </w:r>
      <w:r>
        <w:rPr>
          <w:u w:val="single"/>
        </w:rPr>
        <w:t>Local Reliability Service Procurement</w:t>
      </w:r>
    </w:p>
    <w:p>
      <w:pPr>
        <w:pStyle w:val="BodyText"/>
        <w:rPr/>
      </w:pPr>
      <w:r>
        <w:rPr/>
        <w:t xml:space="preserve">IEP does not agree with the LRS procurement and payment methodology.  It provides for a capacity payment that may not cover costs and no energy payment.  </w:t>
      </w:r>
    </w:p>
    <w:p>
      <w:pPr>
        <w:pStyle w:val="BodyText"/>
        <w:rPr/>
      </w:pPr>
      <w:r>
        <w:rPr/>
        <w:t>32.</w:t>
        <w:tab/>
      </w:r>
      <w:r>
        <w:rPr>
          <w:u w:val="single"/>
        </w:rPr>
        <w:t>Self -Provision of LRS</w:t>
      </w:r>
    </w:p>
    <w:p>
      <w:pPr>
        <w:pStyle w:val="BodyText"/>
        <w:rPr/>
      </w:pPr>
      <w:r>
        <w:rPr/>
        <w:t>The ISO should require LSE’s to self-provide their LRS.  Many LSE’s have a significant amount of generation within their portfolio and have the ability to procure additional amounts in forward markets.  This should be their responsibility, not the ISO’s and there should be financial consequences if LSE’s do not procure in forward markets on behalf of their customers.</w:t>
      </w:r>
    </w:p>
    <w:p>
      <w:pPr>
        <w:pStyle w:val="BodyText"/>
        <w:rPr/>
      </w:pPr>
      <w:r>
        <w:rPr/>
        <w:t>We would support allowing markets to provide the LRS service with a guarantee that the unit will be compensated fairly. We would also support a procurement methodology that forced all type of generation, demand side management and utility controlled generation to be subject to the LRS. Imports should also be permitted to participate when locationally appropriate.</w:t>
      </w:r>
    </w:p>
    <w:p>
      <w:pPr>
        <w:pStyle w:val="BodyText"/>
        <w:rPr/>
      </w:pPr>
      <w:r>
        <w:rPr/>
        <w:t>33.</w:t>
        <w:tab/>
      </w:r>
      <w:r>
        <w:rPr>
          <w:u w:val="single"/>
        </w:rPr>
        <w:t>Method of obtaining Reliability Resource Commitments</w:t>
      </w:r>
    </w:p>
    <w:p>
      <w:pPr>
        <w:pStyle w:val="BodyText"/>
        <w:rPr/>
      </w:pPr>
      <w:r>
        <w:rPr/>
        <w:t>The Staff has recommended for the ISO to hold a 2-Day ahead capacity market in which they will procure a large amount of capacity based on what the needs of the system may be.  This 2-day capacity procurement will not take into account any capacity that may be procured within a competitive forum.</w:t>
      </w:r>
    </w:p>
    <w:p>
      <w:pPr>
        <w:pStyle w:val="BodyText"/>
        <w:rPr/>
      </w:pPr>
      <w:r>
        <w:rPr/>
        <w:t>IEP disagrees with Staffs recommendation because it removes a significant amount of capacity and energy from the forward markets.  This procurement methodology inherently destroys the competitive forward markets by procuring services that could have been met through the market.  Also, as the proposal states, if the ISO is committed to do this on behalf of the LSE’s than, what incentive do they have to do it themselves?</w:t>
      </w:r>
    </w:p>
    <w:p>
      <w:pPr>
        <w:pStyle w:val="BodyText"/>
        <w:ind w:start="720" w:end="0"/>
        <w:rPr/>
      </w:pPr>
      <w:r>
        <w:rPr/>
        <w:t>Another flaw with the procurement methodology is that it is never ending.  There is first a 2-day ahead procurement than supplemental day-of procurements.  With each procurement more and more capacity is removed from a competitive market.</w:t>
      </w:r>
    </w:p>
    <w:p>
      <w:pPr>
        <w:pStyle w:val="BodyText"/>
        <w:rPr/>
      </w:pPr>
      <w:r>
        <w:rPr/>
        <w:br/>
        <w:t>There will be only residual energy and imports left in forward competitive markets.</w:t>
      </w:r>
    </w:p>
    <w:p>
      <w:pPr>
        <w:pStyle w:val="BodyText"/>
        <w:rPr/>
      </w:pPr>
      <w:r>
        <w:rPr/>
        <w:t xml:space="preserve">Within non-competitive areas we would support developing a procurement methodology that allows the market to fulfill the reliability need first and only the residual need be procured closer to the day of operation.  </w:t>
      </w:r>
    </w:p>
    <w:p>
      <w:pPr>
        <w:pStyle w:val="BodyText"/>
        <w:rPr/>
      </w:pPr>
      <w:r>
        <w:rPr/>
        <w:t>34.</w:t>
        <w:tab/>
      </w:r>
      <w:r>
        <w:rPr>
          <w:u w:val="single"/>
        </w:rPr>
        <w:t>Retention of RMR Contracts</w:t>
      </w:r>
    </w:p>
    <w:p>
      <w:pPr>
        <w:pStyle w:val="BodyText"/>
        <w:rPr/>
      </w:pPr>
      <w:r>
        <w:rPr/>
        <w:t>The ISO will retain Condition 2 rights for RMR contracts.  Is this necessary given all of the control that the CMR already provides? If so, then why?</w:t>
      </w:r>
      <w:r>
        <w:rPr>
          <w:u w:val="single"/>
        </w:rPr>
        <w:t xml:space="preserve"> </w:t>
      </w:r>
    </w:p>
    <w:p>
      <w:pPr>
        <w:pStyle w:val="BodyText"/>
        <w:rPr/>
      </w:pPr>
      <w:r>
        <w:rPr/>
        <w:t>36.</w:t>
        <w:tab/>
      </w:r>
      <w:r>
        <w:rPr>
          <w:u w:val="single"/>
        </w:rPr>
        <w:t>Minimum Reliability Energy</w:t>
      </w:r>
    </w:p>
    <w:p>
      <w:pPr>
        <w:pStyle w:val="BodyText"/>
        <w:rPr/>
      </w:pPr>
      <w:r>
        <w:rPr/>
        <w:t xml:space="preserve">Under the Staff Proposal there will be a portion of the LRS that will be required to be online energy. </w:t>
      </w:r>
    </w:p>
    <w:p>
      <w:pPr>
        <w:pStyle w:val="BodyText"/>
        <w:rPr/>
      </w:pPr>
      <w:r>
        <w:rPr/>
        <w:t xml:space="preserve">The Staff states they want the ISO to stipulate the amount of energy they would require to be on line within the capacity purchased in the 2-day ahead procurement but has no mention of payment for that energy.  Through this MRE, the ISO is going to force a unit to run without any guaranteed compensation or even recovery of costs.  </w:t>
      </w:r>
    </w:p>
    <w:p>
      <w:pPr>
        <w:pStyle w:val="BodyText"/>
        <w:rPr/>
      </w:pPr>
      <w:r>
        <w:rPr/>
        <w:t xml:space="preserve">The contingency capacity (residual capacity associated with the total capacity procured) associated with the LRS is also concerning because that capacity can not be scheduled in forward or bilateral markets it is confined to the ISO A/S or Supplemental Energy Markets only. </w:t>
      </w:r>
    </w:p>
    <w:p>
      <w:pPr>
        <w:pStyle w:val="BodyText"/>
        <w:ind w:start="720" w:end="0"/>
        <w:rPr/>
      </w:pPr>
      <w:r>
        <w:rPr/>
        <w:t>The result of the Staff’s recommendation is that a generator will be forced to run without knowing in advance what the payment will be for the energy the ISO is requiring to be delivered.</w:t>
      </w:r>
    </w:p>
    <w:p>
      <w:pPr>
        <w:pStyle w:val="BodyText"/>
        <w:rPr/>
      </w:pPr>
      <w:r>
        <w:rPr/>
      </w:r>
    </w:p>
    <w:p>
      <w:pPr>
        <w:pStyle w:val="BodyText"/>
        <w:rPr/>
      </w:pPr>
      <w:r>
        <w:rPr/>
        <w:t>37.</w:t>
        <w:tab/>
      </w:r>
      <w:r>
        <w:rPr>
          <w:u w:val="single"/>
        </w:rPr>
        <w:t>Payment for MRC</w:t>
      </w:r>
    </w:p>
    <w:p>
      <w:pPr>
        <w:pStyle w:val="BodyText"/>
        <w:rPr/>
      </w:pPr>
      <w:r>
        <w:rPr/>
        <w:t>The Staff have indicated that a unit will not be double paid for a LRS payment and an A/S capacity payment if the SC chooses to sell into the A/S market. We agree that a SC should not be double paid but offer that the unit should receive the higher of the A/S capacity payment or the LRS payment.</w:t>
      </w:r>
    </w:p>
    <w:p>
      <w:pPr>
        <w:pStyle w:val="BodyText"/>
        <w:rPr/>
      </w:pPr>
      <w:r>
        <w:rPr/>
        <w:t>38.</w:t>
        <w:tab/>
      </w:r>
      <w:r>
        <w:rPr>
          <w:u w:val="single"/>
        </w:rPr>
        <w:t>Payment for MRE</w:t>
      </w:r>
    </w:p>
    <w:p>
      <w:pPr>
        <w:pStyle w:val="BodyText"/>
        <w:rPr/>
      </w:pPr>
      <w:r>
        <w:rPr/>
        <w:t xml:space="preserve">In the Staff recommendation they require energy to be online as part of its Local Reliability Service procurement and they do not plan on paying for that energy. If the forward or ISO real-time markets energy payments are low than there is a high probability that units located within the LRS area will be forced to operate at a loss. How will the generator recover its costs?   </w:t>
      </w:r>
    </w:p>
    <w:p>
      <w:pPr>
        <w:pStyle w:val="BodyText"/>
        <w:rPr/>
      </w:pPr>
      <w:r>
        <w:rPr/>
        <w:t>If energy is required by the ISO under the MRE within the LRS than there should be a minimum payment associated with that instruction in addition to the capacity payment.  The SC will then have the choice to take a market payment or the MRE energy payment.  This will ensure that the unit is properly compensated.</w:t>
      </w:r>
    </w:p>
    <w:p>
      <w:pPr>
        <w:pStyle w:val="BodyText"/>
        <w:rPr/>
      </w:pPr>
      <w:r>
        <w:rPr/>
        <w:t>40.</w:t>
        <w:tab/>
      </w:r>
      <w:r>
        <w:rPr>
          <w:u w:val="single"/>
        </w:rPr>
        <w:t>Suppliers to LRS</w:t>
      </w:r>
    </w:p>
    <w:p>
      <w:pPr>
        <w:pStyle w:val="BodyText"/>
        <w:rPr/>
      </w:pPr>
      <w:r>
        <w:rPr/>
        <w:t>The Staff recommendation indicates that only merchant units will be subject to the LRS.  Why not include demand requirements and IOU imported or owned generation?</w:t>
      </w:r>
    </w:p>
    <w:p>
      <w:pPr>
        <w:pStyle w:val="BodyText"/>
        <w:rPr/>
      </w:pPr>
      <w:r>
        <w:rPr/>
      </w:r>
    </w:p>
    <w:p>
      <w:pPr>
        <w:pStyle w:val="BodyText"/>
        <w:rPr/>
      </w:pPr>
      <w:r>
        <w:rPr/>
      </w:r>
    </w:p>
    <w:p>
      <w:pPr>
        <w:pStyle w:val="BodyText"/>
        <w:rPr/>
      </w:pPr>
      <w:r>
        <w:rPr/>
        <w:t>41.</w:t>
        <w:tab/>
      </w:r>
      <w:r>
        <w:rPr>
          <w:u w:val="single"/>
        </w:rPr>
        <w:t>LRS Bid Caps</w:t>
      </w:r>
    </w:p>
    <w:p>
      <w:pPr>
        <w:pStyle w:val="BodyText"/>
        <w:ind w:start="720" w:end="0"/>
        <w:rPr/>
      </w:pPr>
      <w:r>
        <w:rPr/>
        <w:t>IEP does not support the Staff’s recommendation for capacity bid caps.  The proposed capacity ‘bid cap’ will not compensate resources for even their basic fuel costs.  This system assumes that the generator will recover their costs in the energy market and gives no provisions or guarantee that costs to run will be recovered.</w:t>
      </w:r>
    </w:p>
    <w:p>
      <w:pPr>
        <w:pStyle w:val="BodyText"/>
        <w:ind w:start="720" w:end="0"/>
        <w:rPr/>
      </w:pPr>
      <w:r>
        <w:rPr/>
        <w:t>Generators will be forced to face an unreasonable risk by generating without the guarantee of payment.  This methodology sends a negative signal for investment.  Who would want to invest in a market that they will be forced to run without being compensated?</w:t>
      </w:r>
    </w:p>
    <w:p>
      <w:pPr>
        <w:pStyle w:val="BodyText"/>
        <w:ind w:start="720" w:end="0"/>
        <w:rPr/>
      </w:pPr>
      <w:r>
        <w:rPr/>
        <w:t>However, we do realize that within non-competitive zones there has to be a method to procure the energy needed to sustain the system without allowing the exercise of Market Power.  This is why we support the alternative recommendation that will allow a capacity bid cap to be set high enough for the unit to recover its costs and to incentives new generation to be built, which will provide for a more competitive market.  We would also add a stipulation that states if the next competitive zone has a clearing a price above what the bid cap is than the generator should receive that price.</w:t>
      </w:r>
    </w:p>
    <w:p>
      <w:pPr>
        <w:pStyle w:val="BodyText"/>
        <w:rPr/>
      </w:pPr>
      <w:r>
        <w:rPr/>
      </w:r>
    </w:p>
    <w:p>
      <w:pPr>
        <w:pStyle w:val="BodyText"/>
        <w:rPr/>
      </w:pPr>
      <w:r>
        <w:rPr/>
        <w:t>42.</w:t>
        <w:tab/>
      </w:r>
      <w:r>
        <w:rPr>
          <w:u w:val="single"/>
        </w:rPr>
        <w:t>LRS Bid Cap Structure</w:t>
      </w:r>
    </w:p>
    <w:p>
      <w:pPr>
        <w:pStyle w:val="BodyText"/>
        <w:ind w:start="720" w:end="0"/>
        <w:rPr/>
      </w:pPr>
      <w:r>
        <w:rPr/>
        <w:t xml:space="preserve">We agree with staff that whatever pay structure implemented, be consistent across the ISO Control Area in order to keep things uniform across LPA’s.  </w:t>
      </w:r>
    </w:p>
    <w:p>
      <w:pPr>
        <w:pStyle w:val="BodyText"/>
        <w:ind w:start="720" w:end="0"/>
        <w:rPr/>
      </w:pPr>
      <w:r>
        <w:rPr/>
        <w:t>We disagree with the ‘annual true up’ that is suggested in the Staff language which suggests that the generator must bear the costs for an entire year for any losses incurred due to an ISO sanctioned bid cap.  The Staff indicates that the ‘true up’ will be for ‘costs incurred’, we need a definition for ‘costs incurred’ including if it includes lost opportunity costs.</w:t>
      </w:r>
    </w:p>
    <w:p>
      <w:pPr>
        <w:pStyle w:val="BodyText"/>
        <w:ind w:start="720" w:end="0"/>
        <w:rPr/>
      </w:pPr>
      <w:r>
        <w:rPr/>
        <w:t>It is also appropriate to apply the ‘higher of’ methodology to this case as well.  So that the bid cap is never less than the price in the next competitive zone.</w:t>
      </w:r>
    </w:p>
    <w:p>
      <w:pPr>
        <w:pStyle w:val="BodyText"/>
        <w:ind w:firstLine="720" w:start="0" w:end="0"/>
        <w:rPr/>
      </w:pPr>
      <w:r>
        <w:rPr/>
        <w:t>45.</w:t>
        <w:tab/>
      </w:r>
      <w:r>
        <w:rPr>
          <w:u w:val="single"/>
        </w:rPr>
        <w:t>LRS Cost Allocation</w:t>
      </w:r>
    </w:p>
    <w:p>
      <w:pPr>
        <w:pStyle w:val="BodyText"/>
        <w:ind w:start="720" w:end="0"/>
        <w:rPr/>
      </w:pPr>
      <w:r>
        <w:rPr/>
        <w:t>We disagree with the Staff recommendation to allocate LRS costs to the entire PTO area.  This cost is incurred by the specific LPA and should be allocated as such.  This position is in line with the Staff’s alternative proposal.</w:t>
      </w:r>
    </w:p>
    <w:p>
      <w:pPr>
        <w:pStyle w:val="BodyText"/>
        <w:ind w:firstLine="720" w:start="0" w:end="0"/>
        <w:rPr>
          <w:b/>
          <w:bCs/>
        </w:rPr>
      </w:pPr>
      <w:r>
        <w:rPr/>
        <w:t>48.</w:t>
        <w:tab/>
      </w:r>
      <w:r>
        <w:rPr>
          <w:u w:val="single"/>
        </w:rPr>
        <w:t>Allocation of FTR Auction Revenue and Usage Charges</w:t>
      </w:r>
    </w:p>
    <w:p>
      <w:pPr>
        <w:pStyle w:val="BodyText"/>
        <w:ind w:start="720" w:end="0"/>
        <w:rPr/>
      </w:pPr>
      <w:r>
        <w:rPr/>
        <w:t>IEP supports Staff’s alternative proposal, which will create a Transmission Upgrade Account to support new transmission and upgrade existing transmission.</w:t>
      </w:r>
    </w:p>
    <w:p>
      <w:pPr>
        <w:pStyle w:val="BodyText"/>
        <w:spacing w:before="0" w:after="220"/>
        <w:rPr/>
      </w:pPr>
      <w:r>
        <w:rPr/>
      </w:r>
    </w:p>
    <w:sectPr>
      <w:footerReference w:type="default" r:id="rId2"/>
      <w:footerReference w:type="first" r:id="rId3"/>
      <w:type w:val="nextPage"/>
      <w:pgSz w:w="12240" w:h="15840"/>
      <w:pgMar w:left="965" w:right="1800" w:gutter="0" w:header="0" w:top="1008"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1555"/>
        </w:tabs>
        <w:ind w:start="1555"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35" w:end="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1195"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1555"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915" w:end="0"/>
      <w:outlineLvl w:val="4"/>
    </w:pPr>
    <w:rPr>
      <w:rFonts w:ascii="Arial Black" w:hAnsi="Arial Black" w:cs="Arial Black"/>
      <w:spacing w:val="-2"/>
      <w:kern w:val="2"/>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Normal"/>
    <w:pPr>
      <w:ind w:hanging="360" w:start="1195"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shd w:fill="000000" w:val="clear"/>
      <w:spacing w:lineRule="exact" w:line="320"/>
      <w:ind w:hanging="0" w:start="0" w:end="0"/>
    </w:pPr>
    <w:rPr>
      <w:rFonts w:ascii="Arial Black" w:hAnsi="Arial Black" w:cs="Arial Black"/>
      <w:color w:val="FFFFFF"/>
      <w:spacing w:val="-15"/>
      <w:sz w:val="32"/>
    </w:rPr>
  </w:style>
  <w:style w:type="paragraph" w:styleId="DocumentLabel">
    <w:name w:val="Document Label"/>
    <w:basedOn w:val="Normal"/>
    <w:next w:val="Normal"/>
    <w:qFormat/>
    <w:pPr>
      <w:keepNext w:val="true"/>
      <w:keepLines/>
      <w:spacing w:lineRule="atLeast" w:line="240" w:before="400" w:after="120"/>
      <w:ind w:hanging="0" w:start="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1555"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1555" w:end="0"/>
    </w:pPr>
    <w:rPr/>
  </w:style>
  <w:style w:type="paragraph" w:styleId="ReturnAddress">
    <w:name w:val="Return Address"/>
    <w:basedOn w:val="Normal"/>
    <w:qFormat/>
    <w:pPr>
      <w:keepLines/>
      <w:spacing w:lineRule="atLeast" w:line="200"/>
      <w:ind w:hanging="0" w:start="0" w:end="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ListBullet2">
    <w:name w:val="List Bullet 2"/>
    <w:basedOn w:val="Normal"/>
    <w:pPr>
      <w:ind w:hanging="360" w:start="1555" w:end="0"/>
    </w:pPr>
    <w:rPr/>
  </w:style>
  <w:style w:type="paragraph" w:styleId="ListBullet3">
    <w:name w:val="List Bullet 3"/>
    <w:basedOn w:val="Normal"/>
    <w:pPr>
      <w:ind w:hanging="360" w:start="1915" w:end="0"/>
    </w:pPr>
    <w:rPr/>
  </w:style>
  <w:style w:type="paragraph" w:styleId="ListBullet4">
    <w:name w:val="List Bullet 4"/>
    <w:basedOn w:val="Normal"/>
    <w:pPr>
      <w:ind w:hanging="360" w:start="2275" w:end="0"/>
    </w:pPr>
    <w:rPr/>
  </w:style>
  <w:style w:type="paragraph" w:styleId="ListBullet5">
    <w:name w:val="List Bullet 5"/>
    <w:basedOn w:val="Normal"/>
    <w:pPr>
      <w:ind w:hanging="360" w:start="2635" w:end="0"/>
    </w:pPr>
    <w:rPr/>
  </w:style>
  <w:style w:type="paragraph" w:styleId="ListBullet">
    <w:name w:val="List Bullet"/>
    <w:basedOn w:val="Normal"/>
    <w:qFormat/>
    <w:pPr>
      <w:numPr>
        <w:ilvl w:val="0"/>
        <w:numId w:val="11"/>
      </w:numPr>
      <w:ind w:hanging="0" w:start="1195" w:end="0"/>
    </w:pPr>
    <w:rPr/>
  </w:style>
  <w:style w:type="paragraph" w:styleId="ListBullet21">
    <w:name w:val="List Bullet 21"/>
    <w:basedOn w:val="Normal"/>
    <w:qFormat/>
    <w:pPr>
      <w:numPr>
        <w:ilvl w:val="0"/>
        <w:numId w:val="9"/>
      </w:numPr>
      <w:ind w:hanging="0" w:start="1555" w:end="0"/>
    </w:pPr>
    <w:rPr/>
  </w:style>
  <w:style w:type="paragraph" w:styleId="ListBullet31">
    <w:name w:val="List Bullet 31"/>
    <w:basedOn w:val="Normal"/>
    <w:qFormat/>
    <w:pPr>
      <w:numPr>
        <w:ilvl w:val="0"/>
        <w:numId w:val="8"/>
      </w:numPr>
      <w:ind w:hanging="0" w:start="1915" w:end="0"/>
    </w:pPr>
    <w:rPr/>
  </w:style>
  <w:style w:type="paragraph" w:styleId="ListBullet41">
    <w:name w:val="List Bullet 41"/>
    <w:basedOn w:val="Normal"/>
    <w:qFormat/>
    <w:pPr>
      <w:numPr>
        <w:ilvl w:val="0"/>
        <w:numId w:val="7"/>
      </w:numPr>
      <w:ind w:hanging="0" w:start="2275" w:end="0"/>
    </w:pPr>
    <w:rPr/>
  </w:style>
  <w:style w:type="paragraph" w:styleId="ListBullet51">
    <w:name w:val="List Bullet 51"/>
    <w:basedOn w:val="Normal"/>
    <w:qFormat/>
    <w:pPr>
      <w:numPr>
        <w:ilvl w:val="0"/>
        <w:numId w:val="6"/>
      </w:numPr>
      <w:ind w:hanging="0" w:start="2635" w:end="0"/>
    </w:pPr>
    <w:rPr/>
  </w:style>
  <w:style w:type="paragraph" w:styleId="ListContinue">
    <w:name w:val="List Continue"/>
    <w:basedOn w:val="Normal"/>
    <w:qFormat/>
    <w:pPr>
      <w:spacing w:before="0" w:after="120"/>
      <w:ind w:hanging="0" w:start="1195" w:end="0"/>
    </w:pPr>
    <w:rPr/>
  </w:style>
  <w:style w:type="paragraph" w:styleId="ListContinue2">
    <w:name w:val="List Continue 2"/>
    <w:basedOn w:val="Normal"/>
    <w:qFormat/>
    <w:pPr>
      <w:spacing w:before="0" w:after="120"/>
      <w:ind w:hanging="0" w:start="1555" w:end="0"/>
    </w:pPr>
    <w:rPr/>
  </w:style>
  <w:style w:type="paragraph" w:styleId="ListContinue3">
    <w:name w:val="List Continue 3"/>
    <w:basedOn w:val="Normal"/>
    <w:qFormat/>
    <w:pPr>
      <w:spacing w:before="0" w:after="120"/>
      <w:ind w:hanging="0" w:start="1915" w:end="0"/>
    </w:pPr>
    <w:rPr/>
  </w:style>
  <w:style w:type="paragraph" w:styleId="ListContinue4">
    <w:name w:val="List Continue 4"/>
    <w:basedOn w:val="Normal"/>
    <w:qFormat/>
    <w:pPr>
      <w:spacing w:before="0" w:after="120"/>
      <w:ind w:hanging="0" w:start="2275" w:end="0"/>
    </w:pPr>
    <w:rPr/>
  </w:style>
  <w:style w:type="paragraph" w:styleId="ListContinue5">
    <w:name w:val="List Continue 5"/>
    <w:basedOn w:val="Normal"/>
    <w:qFormat/>
    <w:pPr>
      <w:spacing w:before="0" w:after="120"/>
      <w:ind w:hanging="0" w:start="2635" w:end="0"/>
    </w:pPr>
    <w:rPr/>
  </w:style>
  <w:style w:type="paragraph" w:styleId="ListNumber">
    <w:name w:val="List Number"/>
    <w:basedOn w:val="Normal"/>
    <w:qFormat/>
    <w:pPr>
      <w:numPr>
        <w:ilvl w:val="0"/>
        <w:numId w:val="10"/>
      </w:numPr>
      <w:ind w:hanging="0" w:start="1195" w:end="0"/>
    </w:pPr>
    <w:rPr/>
  </w:style>
  <w:style w:type="paragraph" w:styleId="ListNumber2">
    <w:name w:val="List Number 2"/>
    <w:basedOn w:val="Normal"/>
    <w:qFormat/>
    <w:pPr>
      <w:numPr>
        <w:ilvl w:val="0"/>
        <w:numId w:val="5"/>
      </w:numPr>
      <w:ind w:hanging="0" w:start="1555" w:end="0"/>
    </w:pPr>
    <w:rPr/>
  </w:style>
  <w:style w:type="paragraph" w:styleId="ListNumber3">
    <w:name w:val="List Number 3"/>
    <w:basedOn w:val="Normal"/>
    <w:qFormat/>
    <w:pPr>
      <w:numPr>
        <w:ilvl w:val="0"/>
        <w:numId w:val="4"/>
      </w:numPr>
      <w:ind w:hanging="0" w:start="1915" w:end="0"/>
    </w:pPr>
    <w:rPr/>
  </w:style>
  <w:style w:type="paragraph" w:styleId="ListNumber4">
    <w:name w:val="List Number 4"/>
    <w:basedOn w:val="Normal"/>
    <w:qFormat/>
    <w:pPr>
      <w:numPr>
        <w:ilvl w:val="0"/>
        <w:numId w:val="3"/>
      </w:numPr>
      <w:ind w:hanging="0" w:start="2275" w:end="0"/>
    </w:pPr>
    <w:rPr/>
  </w:style>
  <w:style w:type="paragraph" w:styleId="ListNumber5">
    <w:name w:val="List Number 5"/>
    <w:basedOn w:val="Normal"/>
    <w:qFormat/>
    <w:pPr>
      <w:numPr>
        <w:ilvl w:val="0"/>
        <w:numId w:val="2"/>
      </w:numPr>
      <w:ind w:hanging="0" w:start="2635"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IEP 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2000-08-31T22:46:00Z</dcterms:created>
  <dc:creator>Steven Kelly</dc:creator>
  <dc:description/>
  <dc:language>en-CA</dc:language>
  <cp:lastModifiedBy>Steven Kelly</cp:lastModifiedBy>
  <cp:lastPrinted>2000-08-31T18:26:00Z</cp:lastPrinted>
  <dcterms:modified xsi:type="dcterms:W3CDTF">2000-08-31T22:56:00Z</dcterms:modified>
  <cp:revision>4</cp:revision>
  <dc:subject/>
  <dc:title>Professional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