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State of California</w:t>
      </w:r>
    </w:p>
    <w:p>
      <w:pPr>
        <w:pStyle w:val="Normal"/>
        <w:jc w:val="center"/>
        <w:rPr>
          <w:b/>
          <w:bCs/>
          <w:sz w:val="28"/>
        </w:rPr>
      </w:pPr>
      <w:r>
        <w:rPr>
          <w:b/>
          <w:bCs/>
          <w:sz w:val="28"/>
        </w:rPr>
      </w:r>
    </w:p>
    <w:p>
      <w:pPr>
        <w:pStyle w:val="Normal"/>
        <w:jc w:val="center"/>
        <w:rPr>
          <w:b/>
          <w:bCs/>
          <w:sz w:val="28"/>
        </w:rPr>
      </w:pPr>
      <w:r>
        <w:rPr>
          <w:b/>
          <w:bCs/>
          <w:sz w:val="28"/>
        </w:rPr>
        <w:t>Energy Resources</w:t>
      </w:r>
    </w:p>
    <w:p>
      <w:pPr>
        <w:pStyle w:val="Normal"/>
        <w:jc w:val="center"/>
        <w:rPr>
          <w:b/>
          <w:bCs/>
          <w:sz w:val="28"/>
        </w:rPr>
      </w:pPr>
      <w:r>
        <w:rPr>
          <w:b/>
          <w:bCs/>
          <w:sz w:val="28"/>
        </w:rPr>
        <w:t>Conservation and Development Commission</w:t>
      </w:r>
    </w:p>
    <w:p>
      <w:pPr>
        <w:pStyle w:val="Normal"/>
        <w:jc w:val="center"/>
        <w:rPr>
          <w:b/>
          <w:bCs/>
          <w:sz w:val="28"/>
        </w:rPr>
      </w:pPr>
      <w:r>
        <w:rPr>
          <w:b/>
          <w:bCs/>
          <w:sz w:val="28"/>
        </w:rPr>
      </w:r>
    </w:p>
    <w:p>
      <w:pPr>
        <w:pStyle w:val="Normal"/>
        <w:jc w:val="center"/>
        <w:rPr>
          <w:b/>
          <w:bCs/>
          <w:sz w:val="28"/>
        </w:rPr>
      </w:pPr>
      <w:r>
        <w:rPr>
          <w:b/>
          <w:bCs/>
          <w:sz w:val="28"/>
        </w:rPr>
      </w:r>
    </w:p>
    <w:p>
      <w:pPr>
        <w:pStyle w:val="Heading2"/>
        <w:ind w:hanging="0" w:start="0"/>
        <w:rPr/>
      </w:pPr>
      <w:r>
        <w:rPr/>
        <w:t>In the Matter of:</w:t>
        <w:tab/>
        <w:tab/>
        <w:tab/>
        <w:t>}</w:t>
        <w:tab/>
        <w:t>Docket No. 97-DC&amp;CR-1</w:t>
      </w:r>
    </w:p>
    <w:p>
      <w:pPr>
        <w:pStyle w:val="Normal"/>
        <w:rPr/>
      </w:pPr>
      <w:r>
        <w:rPr/>
        <w:tab/>
        <w:tab/>
        <w:tab/>
        <w:tab/>
        <w:tab/>
        <w:t>}</w:t>
        <w:tab/>
        <w:t>Committee Workshop on</w:t>
      </w:r>
    </w:p>
    <w:p>
      <w:pPr>
        <w:pStyle w:val="Normal"/>
        <w:rPr/>
      </w:pPr>
      <w:r>
        <w:rPr/>
        <w:t>Electricity and Natural Gas</w:t>
        <w:tab/>
        <w:tab/>
        <w:t>}</w:t>
        <w:tab/>
        <w:t>Amendments to Language of Regulations</w:t>
      </w:r>
    </w:p>
    <w:p>
      <w:pPr>
        <w:pStyle w:val="Normal"/>
        <w:rPr/>
      </w:pPr>
      <w:r>
        <w:rPr/>
        <w:tab/>
        <w:tab/>
        <w:tab/>
        <w:tab/>
        <w:tab/>
        <w:t>}</w:t>
        <w:tab/>
        <w:t>Governing Quarterly Fuel and Energy</w:t>
      </w:r>
    </w:p>
    <w:p>
      <w:pPr>
        <w:pStyle w:val="Normal"/>
        <w:rPr/>
      </w:pPr>
      <w:r>
        <w:rPr/>
        <w:tab/>
        <w:tab/>
        <w:tab/>
        <w:tab/>
        <w:tab/>
        <w:t>}</w:t>
        <w:tab/>
        <w:t>Utility Surveys, Load Metering, and</w:t>
      </w:r>
    </w:p>
    <w:p>
      <w:pPr>
        <w:pStyle w:val="Normal"/>
        <w:rPr/>
      </w:pPr>
      <w:r>
        <w:rPr/>
        <w:tab/>
        <w:tab/>
        <w:tab/>
        <w:tab/>
        <w:tab/>
        <w:t>}</w:t>
        <w:tab/>
        <w:t>Power Plant Operating Characteristics</w:t>
      </w:r>
    </w:p>
    <w:p>
      <w:pPr>
        <w:pStyle w:val="Normal"/>
        <w:rPr/>
      </w:pPr>
      <w:r>
        <w:rPr/>
      </w:r>
    </w:p>
    <w:p>
      <w:pPr>
        <w:pStyle w:val="Normal"/>
        <w:rPr/>
      </w:pPr>
      <w:r>
        <w:rPr/>
      </w:r>
    </w:p>
    <w:p>
      <w:pPr>
        <w:pStyle w:val="Normal"/>
        <w:rPr/>
      </w:pPr>
      <w:r>
        <w:rPr/>
      </w:r>
    </w:p>
    <w:p>
      <w:pPr>
        <w:pStyle w:val="Normal"/>
        <w:rPr/>
      </w:pPr>
      <w:r>
        <w:rPr/>
      </w:r>
    </w:p>
    <w:p>
      <w:pPr>
        <w:pStyle w:val="Normal"/>
        <w:jc w:val="center"/>
        <w:rPr/>
      </w:pPr>
      <w:r>
        <w:rPr/>
        <w:t>Comments of the</w:t>
      </w:r>
    </w:p>
    <w:p>
      <w:pPr>
        <w:pStyle w:val="Normal"/>
        <w:jc w:val="center"/>
        <w:rPr/>
      </w:pPr>
      <w:r>
        <w:rPr/>
        <w:t>Independent Energy Producers Association</w:t>
      </w:r>
    </w:p>
    <w:p>
      <w:pPr>
        <w:pStyle w:val="Normal"/>
        <w:jc w:val="center"/>
        <w:rPr/>
      </w:pPr>
      <w:r>
        <w:rPr/>
      </w:r>
    </w:p>
    <w:p>
      <w:pPr>
        <w:pStyle w:val="Normal"/>
        <w:jc w:val="center"/>
        <w:rPr/>
      </w:pPr>
      <w:r>
        <w:rPr/>
      </w:r>
    </w:p>
    <w:p>
      <w:pPr>
        <w:pStyle w:val="Normal"/>
        <w:jc w:val="center"/>
        <w:rPr/>
      </w:pPr>
      <w:r>
        <w:rPr/>
        <w:t>July 17, 2001</w:t>
      </w:r>
    </w:p>
    <w:p>
      <w:pPr>
        <w:pStyle w:val="Normal"/>
        <w:jc w:val="center"/>
        <w:rPr/>
      </w:pPr>
      <w:r>
        <w:rPr/>
      </w:r>
    </w:p>
    <w:p>
      <w:pPr>
        <w:pStyle w:val="Normal"/>
        <w:jc w:val="center"/>
        <w:rPr/>
      </w:pPr>
      <w:r>
        <w:rPr/>
      </w:r>
    </w:p>
    <w:p>
      <w:pPr>
        <w:pStyle w:val="Normal"/>
        <w:jc w:val="center"/>
        <w:rPr/>
      </w:pPr>
      <w:r>
        <w:rPr/>
      </w:r>
    </w:p>
    <w:p>
      <w:pPr>
        <w:pStyle w:val="Normal"/>
        <w:rPr/>
      </w:pPr>
      <w:r>
        <w:rPr/>
        <w:t xml:space="preserve">The Independent Energy Producers Association (IEP) respectfully submits these comments on the Committee Workshop on amendments to language of regulations governing quarterly fuel and energy utility surveys, load metering, and power plant operating characteristics.  IEP represents the interests of  over 20,000 MWs of electrical generation in the state of California, including merchant facilities, cogenerators, and the whole range of renewable technologies. </w:t>
      </w:r>
    </w:p>
    <w:p>
      <w:pPr>
        <w:pStyle w:val="Normal"/>
        <w:rPr/>
      </w:pPr>
      <w:r>
        <w:rPr/>
      </w:r>
    </w:p>
    <w:p>
      <w:pPr>
        <w:pStyle w:val="Normal"/>
        <w:rPr/>
      </w:pPr>
      <w:r>
        <w:rPr/>
        <w:t xml:space="preserve">IEP has participated in this Rulemaking since its inception, and was particularly active in working closely with the Committee in designing an innovative and effective program for collecting generator data consistent with the Committee’s goals.   These goals included accessing generator data in as least obtrusive and costly manner as possible consistent with the Commission’s information reporting requirements.  IEP was pleased in the outcome of the proceeding to date, culminating in the </w:t>
      </w:r>
      <w:r>
        <w:rPr>
          <w:i/>
          <w:iCs/>
        </w:rPr>
        <w:t>Report on Generator &amp; Consumer Data Reporting Requirements</w:t>
      </w:r>
      <w:r>
        <w:rPr/>
        <w:t xml:space="preserve"> (the Data Report).</w:t>
      </w:r>
    </w:p>
    <w:p>
      <w:pPr>
        <w:pStyle w:val="Normal"/>
        <w:rPr/>
      </w:pPr>
      <w:r>
        <w:rPr/>
      </w:r>
    </w:p>
    <w:p>
      <w:pPr>
        <w:pStyle w:val="Normal"/>
        <w:rPr/>
      </w:pPr>
      <w:r>
        <w:rPr/>
        <w:t xml:space="preserve">IEP is surprised that, as the Committee moves to adopt regulatory language implementing the Data Report, significant, substantive amendments are being proposed.  The changes embodied in the proposed amendments are sweeping.  They are inconsistent with the Commission’s original object of acquiring necessary data in a least obtrusive manner.  They impose significant new reporting burdens on a whole class of generators, specifically generators sized 10MW to 50 MWs.  They expand data reporting requirements to all generators 10 MWs and greater (eg. generator reporting related to operations and maintenance data).  Further, IEP believes that the imposition of the additional data reporting requirements implied by the proposed amendments is inconsistent with the public record established in this proceeding.  Certainly, the imposition of additional data reporting requirements is not based on actual experiences to data implementing the protocols described in the approved Data Report. </w:t>
      </w:r>
    </w:p>
    <w:p>
      <w:pPr>
        <w:pStyle w:val="Normal"/>
        <w:rPr/>
      </w:pPr>
      <w:r>
        <w:rPr/>
      </w:r>
    </w:p>
    <w:p>
      <w:pPr>
        <w:pStyle w:val="Normal"/>
        <w:rPr/>
      </w:pPr>
      <w:r>
        <w:rPr/>
        <w:t>Overall, IEP raises an important and fundamental question related to the proposed amendments that would expand data reporting requirements on generators.  What is the rational?  IEP and other parties invested over two years on a process that culminated in the Data Report.   The ink was hardly dry, and amendments are being proposed which would grossly expand data collection burdens on generators.  Indeed, the proposed amendments address some of the exact issues that arose throughout the proceeding (e.g. reporting data on O&amp;M characteristics, scope and scale of reporting on small and mid-sized generators).  The Committee and the full Commission approved the Data Report as drafted, and IEP believed in doing so the Committee and full Commission resolved the outstanding issues at that time based on the public record before them at that time.  Since that time, IEP believes nothing has fundamentally changed which would warrant an expansion of reporting requirements on generators above and beyond that prescribed in the Data Report;  nothing known now was not known and addressed during the previous phase of this proceeding    During that phase, the Committee and the full Commission approved an approach, based on the public record, which IEP and others supported.  We now see no cause, and certainly no public record, to warrant the additional data reporting recommended in the proposed amendments.</w:t>
      </w:r>
    </w:p>
    <w:p>
      <w:pPr>
        <w:pStyle w:val="Normal"/>
        <w:rPr/>
      </w:pPr>
      <w:r>
        <w:rPr/>
      </w:r>
    </w:p>
    <w:p>
      <w:pPr>
        <w:pStyle w:val="Normal"/>
        <w:rPr/>
      </w:pPr>
      <w:r>
        <w:rPr/>
        <w:t xml:space="preserve">IEP continues to believe that the data sought by staff are publicly available through other resources or, alternatively, could be obtained by the Commission pursuant to a inter-agency memorandum of understanding so long as data confidentiality is appropriately maintained.  During the early phases of this proceeding, IEP placed into the public record information identifying the type, range, and location of data filed by generators in other regulatory forums.  </w:t>
      </w:r>
    </w:p>
    <w:p>
      <w:pPr>
        <w:pStyle w:val="Normal"/>
        <w:rPr/>
      </w:pPr>
      <w:r>
        <w:rPr/>
      </w:r>
    </w:p>
    <w:p>
      <w:pPr>
        <w:pStyle w:val="Normal"/>
        <w:rPr/>
      </w:pPr>
      <w:r>
        <w:rPr/>
        <w:t>Regarding the specific data requests embedded in the proposed amendments which represent an expansion of  the data collection protocol reached during previous phases of this proceeding, the two most troubling changes relate to information reporting for (1) the 10 MW to 50 MW class of generators, and (2) operations and maintenance (O&amp;M) data.</w:t>
      </w:r>
    </w:p>
    <w:p>
      <w:pPr>
        <w:pStyle w:val="Normal"/>
        <w:rPr/>
      </w:pPr>
      <w:r>
        <w:rPr/>
        <w:t>In expanding data collection for the 10 MW to 50 MW class of generators (including the collection of  ramp rate and heat rate data) and the collection of O&amp;M data from all generators , the proposed amendments would impose additional costs and burdens on generators without a commensurate benefit.  During the first phase of this proceeding, parties and staff contended vigorously over the need for additional data reporting requirements placed on generators.  At that time, the generator community, the Committee, and the full Commission approved the Committee’s recommendation.  Nothing has changed since that time to suggests that the data collection protocols adopted at that time are inadequate, inappropriate, or ineffective.  Indeed, no rational has been provided to explain the significant, major changes in data reporting and collection suggested by the proposed amendments.  Further, IEP noted during the public phase of this proceeding  that surrogates for these data were readily available from other sources.  Indeed, in the interest of implementing non-obtrusive data collection methodologies, IEP recommended tactics as simple as contacting manufacturers to determine key information such as heat rates by ramp rates.  IEP is not aware that this, or any, of the innovative yet less burdensome techniques discussed during the public phase of the proceeding have been utilized.</w:t>
      </w:r>
    </w:p>
    <w:p>
      <w:pPr>
        <w:pStyle w:val="Normal"/>
        <w:rPr/>
      </w:pPr>
      <w:r>
        <w:rPr/>
      </w:r>
    </w:p>
    <w:p>
      <w:pPr>
        <w:pStyle w:val="Normal"/>
        <w:rPr/>
      </w:pPr>
      <w:r>
        <w:rPr/>
        <w:t>IEP is concerned that the proposed amendments are inconsistent with the Committee and full Commission’s prior determination; the proposed amendments lack the public record to justify their adoption; and the proper adoption of such language would require a re-opening of this proceeding for public comment, thereby needlessly prolonging this proceeding without any countervailing benefit to the Commission, the public, or the industry.  We urge the Committee to delete the language which is inconsistent with the prior approved Data Report, particularly the language which suggests an expansion of data reporting imposed on 10MW to 50 MW generators as well as the expansion of data reporting on any and all generators related to O&amp;M fixed and variable cost data.</w:t>
      </w:r>
    </w:p>
    <w:p>
      <w:pPr>
        <w:pStyle w:val="Normal"/>
        <w:rPr/>
      </w:pPr>
      <w:r>
        <w:rPr/>
      </w:r>
    </w:p>
    <w:p>
      <w:pPr>
        <w:pStyle w:val="Normal"/>
        <w:rPr/>
      </w:pPr>
      <w:r>
        <w:rPr/>
      </w:r>
    </w:p>
    <w:p>
      <w:pPr>
        <w:pStyle w:val="Normal"/>
        <w:rPr/>
      </w:pPr>
      <w:r>
        <w:rPr/>
        <w:tab/>
        <w:tab/>
        <w:tab/>
        <w:tab/>
        <w:tab/>
        <w:t>Respectfully submitted,</w:t>
      </w:r>
    </w:p>
    <w:p>
      <w:pPr>
        <w:pStyle w:val="Normal"/>
        <w:rPr/>
      </w:pPr>
      <w:r>
        <w:rPr/>
      </w:r>
    </w:p>
    <w:p>
      <w:pPr>
        <w:pStyle w:val="Normal"/>
        <w:rPr/>
      </w:pPr>
      <w:r>
        <w:rPr/>
      </w:r>
    </w:p>
    <w:p>
      <w:pPr>
        <w:pStyle w:val="Normal"/>
        <w:rPr/>
      </w:pPr>
      <w:r>
        <w:rPr/>
      </w:r>
    </w:p>
    <w:p>
      <w:pPr>
        <w:pStyle w:val="Normal"/>
        <w:rPr/>
      </w:pPr>
      <w:r>
        <w:rPr/>
        <w:tab/>
        <w:tab/>
        <w:tab/>
        <w:tab/>
        <w:tab/>
        <w:t>Steven Kelly</w:t>
      </w:r>
    </w:p>
    <w:p>
      <w:pPr>
        <w:pStyle w:val="Normal"/>
        <w:rPr/>
      </w:pPr>
      <w:r>
        <w:rPr/>
        <w:tab/>
        <w:tab/>
        <w:tab/>
        <w:tab/>
        <w:tab/>
        <w:t>Policy Director</w:t>
      </w:r>
    </w:p>
    <w:p>
      <w:pPr>
        <w:pStyle w:val="Normal"/>
        <w:rPr/>
      </w:pPr>
      <w:r>
        <w:rPr/>
      </w:r>
    </w:p>
    <w:p>
      <w:pPr>
        <w:pStyle w:val="Normal"/>
        <w:rPr/>
      </w:pPr>
      <w:r>
        <w:rPr/>
        <w:t>July 16, 2001</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2001-07-16T18:48:00Z</dcterms:created>
  <dc:creator>Jan Smutny-Jones</dc:creator>
  <dc:description/>
  <dc:language>en-CA</dc:language>
  <cp:lastModifiedBy>Jan Smutny-Jones</cp:lastModifiedBy>
  <cp:lastPrinted>2001-07-17T11:14:00Z</cp:lastPrinted>
  <dcterms:modified xsi:type="dcterms:W3CDTF">2001-07-17T16:28:00Z</dcterms:modified>
  <cp:revision>4</cp:revision>
  <dc:subject/>
  <dc:title>State of California</dc:title>
</cp:coreProperties>
</file>