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UNITED STATES OF AMERICA</w:t>
      </w:r>
    </w:p>
    <w:p>
      <w:pPr>
        <w:pStyle w:val="Normal"/>
        <w:jc w:val="center"/>
        <w:rPr>
          <w:b/>
          <w:bCs/>
        </w:rPr>
      </w:pPr>
      <w:r>
        <w:rPr>
          <w:b/>
          <w:bCs/>
        </w:rPr>
        <w:t>BEFORE THE</w:t>
      </w:r>
    </w:p>
    <w:p>
      <w:pPr>
        <w:pStyle w:val="Normal"/>
        <w:jc w:val="center"/>
        <w:rPr>
          <w:b/>
          <w:bCs/>
        </w:rPr>
      </w:pP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San Diego Gas &amp; Electric Company</w:t>
        <w:tab/>
        <w:tab/>
        <w:t>)</w:t>
        <w:tab/>
        <w:t>Docket No. EL00-95-000</w:t>
      </w:r>
    </w:p>
    <w:p>
      <w:pPr>
        <w:pStyle w:val="Normal"/>
        <w:ind w:start="1440" w:end="0"/>
        <w:rPr/>
      </w:pPr>
      <w:r>
        <w:rPr/>
        <w:t>v.</w:t>
        <w:tab/>
        <w:tab/>
        <w:tab/>
        <w:tab/>
        <w:t>)</w:t>
        <w:tab/>
        <w:tab/>
      </w:r>
    </w:p>
    <w:p>
      <w:pPr>
        <w:pStyle w:val="Normal"/>
        <w:rPr/>
      </w:pPr>
      <w:r>
        <w:rPr/>
        <w:t>All Jurisdictional Sellers of Energy</w:t>
        <w:tab/>
        <w:tab/>
        <w:t>)</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tab/>
        <w:tab/>
        <w:tab/>
        <w:tab/>
        <w:tab/>
        <w:tab/>
        <w:t>)</w:t>
      </w:r>
    </w:p>
    <w:p>
      <w:pPr>
        <w:pStyle w:val="Normal"/>
        <w:rPr/>
      </w:pPr>
      <w:r>
        <w:rPr/>
        <w:t>Investigation of Practices of the California</w:t>
        <w:tab/>
        <w:t>)</w:t>
      </w:r>
    </w:p>
    <w:p>
      <w:pPr>
        <w:pStyle w:val="Normal"/>
        <w:rPr/>
      </w:pPr>
      <w:r>
        <w:rPr/>
        <w:t xml:space="preserve">Independent System Operator and the </w:t>
        <w:tab/>
        <w:t>)</w:t>
        <w:tab/>
        <w:t>Docket No. EL00-98-000</w:t>
      </w:r>
    </w:p>
    <w:p>
      <w:pPr>
        <w:pStyle w:val="Normal"/>
        <w:rPr/>
      </w:pPr>
      <w:r>
        <w:rPr/>
        <w:t>California Power Exchange;</w:t>
        <w:tab/>
        <w:tab/>
        <w:tab/>
        <w:t>)</w:t>
        <w:tab/>
        <w:tab/>
      </w:r>
    </w:p>
    <w:p>
      <w:pPr>
        <w:pStyle w:val="Normal"/>
        <w:rPr/>
      </w:pPr>
      <w:r>
        <w:rPr/>
        <w:tab/>
        <w:tab/>
        <w:tab/>
        <w:tab/>
        <w:tab/>
        <w:tab/>
        <w:t>)</w:t>
      </w:r>
    </w:p>
    <w:p>
      <w:pPr>
        <w:pStyle w:val="Normal"/>
        <w:rPr/>
      </w:pPr>
      <w:r>
        <w:rPr/>
        <w:t>Public Meeting in San Diego, California</w:t>
        <w:tab/>
        <w:t>)</w:t>
        <w:tab/>
        <w:t>Docket No. EL00-107-000</w:t>
      </w:r>
    </w:p>
    <w:p>
      <w:pPr>
        <w:pStyle w:val="Normal"/>
        <w:rPr/>
      </w:pPr>
      <w:r>
        <w:rPr/>
        <w:tab/>
        <w:tab/>
        <w:tab/>
        <w:tab/>
        <w:tab/>
        <w:tab/>
        <w:t>)</w:t>
        <w:tab/>
        <w:tab/>
      </w:r>
    </w:p>
    <w:p>
      <w:pPr>
        <w:pStyle w:val="Normal"/>
        <w:rPr/>
      </w:pPr>
      <w:r>
        <w:rPr/>
        <w:tab/>
        <w:tab/>
        <w:tab/>
        <w:tab/>
        <w:tab/>
        <w:tab/>
        <w:t>)</w:t>
      </w:r>
    </w:p>
    <w:p>
      <w:pPr>
        <w:pStyle w:val="Normal"/>
        <w:rPr/>
      </w:pPr>
      <w:r>
        <w:rPr/>
        <w:t>California Power Exchange Corporation</w:t>
        <w:tab/>
        <w:t>)</w:t>
        <w:tab/>
        <w:t>Docket No. ER00-3461- 000</w:t>
      </w:r>
    </w:p>
    <w:p>
      <w:pPr>
        <w:pStyle w:val="Normal"/>
        <w:rPr/>
      </w:pPr>
      <w:r>
        <w:rPr/>
        <w:tab/>
        <w:tab/>
        <w:tab/>
        <w:tab/>
        <w:tab/>
        <w:tab/>
        <w:t>)</w:t>
        <w:tab/>
        <w:tab/>
      </w:r>
    </w:p>
    <w:p>
      <w:pPr>
        <w:pStyle w:val="Normal"/>
        <w:rPr/>
      </w:pPr>
      <w:r>
        <w:rPr/>
        <w:tab/>
        <w:tab/>
        <w:tab/>
        <w:tab/>
        <w:tab/>
        <w:tab/>
        <w:t>)</w:t>
      </w:r>
    </w:p>
    <w:p>
      <w:pPr>
        <w:pStyle w:val="Normal"/>
        <w:rPr/>
      </w:pPr>
      <w:r>
        <w:rPr/>
        <w:t>California Independent System Operator</w:t>
        <w:tab/>
        <w:t>)</w:t>
        <w:tab/>
        <w:t>Docket No. ER00-3673-000</w:t>
      </w:r>
    </w:p>
    <w:p>
      <w:pPr>
        <w:pStyle w:val="Normal"/>
        <w:rPr/>
      </w:pPr>
      <w:r>
        <w:rPr>
          <w:u w:val="single"/>
        </w:rPr>
        <w:t>Corporation</w:t>
        <w:tab/>
        <w:tab/>
        <w:tab/>
        <w:tab/>
        <w:tab/>
      </w:r>
      <w:r>
        <w:rPr/>
        <w:t>)</w:t>
      </w:r>
    </w:p>
    <w:p>
      <w:pPr>
        <w:pStyle w:val="TOC1"/>
        <w:rPr/>
      </w:pPr>
      <w:r>
        <w:rPr/>
      </w:r>
    </w:p>
    <w:p>
      <w:pPr>
        <w:pStyle w:val="TOC1"/>
        <w:rPr/>
      </w:pPr>
      <w:r>
        <w:rPr/>
      </w:r>
    </w:p>
    <w:p>
      <w:pPr>
        <w:pStyle w:val="Normal"/>
        <w:rPr/>
      </w:pPr>
      <w:r>
        <w:rPr/>
      </w:r>
    </w:p>
    <w:p>
      <w:pPr>
        <w:pStyle w:val="Normal"/>
        <w:jc w:val="center"/>
        <w:rPr>
          <w:b/>
        </w:rPr>
      </w:pPr>
      <w:r>
        <w:rPr>
          <w:b/>
        </w:rPr>
      </w:r>
    </w:p>
    <w:p>
      <w:pPr>
        <w:pStyle w:val="Normal"/>
        <w:jc w:val="center"/>
        <w:rPr>
          <w:b/>
          <w:bCs/>
        </w:rPr>
      </w:pPr>
      <w:r>
        <w:rPr>
          <w:b/>
          <w:bCs/>
        </w:rPr>
        <w:t>Comments</w:t>
      </w:r>
    </w:p>
    <w:p>
      <w:pPr>
        <w:pStyle w:val="Normal"/>
        <w:jc w:val="center"/>
        <w:rPr>
          <w:b/>
          <w:bCs/>
        </w:rPr>
      </w:pPr>
      <w:r>
        <w:rPr>
          <w:b/>
          <w:bCs/>
        </w:rPr>
        <w:t>of the Independent Energy Producers Association</w:t>
      </w:r>
    </w:p>
    <w:p>
      <w:pPr>
        <w:pStyle w:val="Normal"/>
        <w:jc w:val="center"/>
        <w:rPr>
          <w:b/>
          <w:bCs/>
        </w:rPr>
      </w:pPr>
      <w:r>
        <w:rPr>
          <w:b/>
          <w:bCs/>
        </w:rPr>
        <w:t>In Response to Commission’s November Order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b/>
          <w:bCs/>
        </w:rPr>
      </w:pPr>
      <w:r>
        <w:rPr>
          <w:b/>
          <w:bC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Dated:  November 22, 2000</w:t>
        <w:tab/>
        <w:tab/>
        <w:tab/>
        <w:t>Andrew B. Brown</w:t>
      </w:r>
    </w:p>
    <w:p>
      <w:pPr>
        <w:pStyle w:val="footnotetex"/>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autoSpaceDE w:val="true"/>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i/>
          <w:iCs/>
        </w:rPr>
        <w:t>Electronic Filing</w:t>
      </w:r>
      <w:r>
        <w:rPr/>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sectPr>
          <w:footerReference w:type="default" r:id="rId2"/>
          <w:footerReference w:type="first" r:id="rId3"/>
          <w:type w:val="nextPage"/>
          <w:pgSz w:w="12240" w:h="15840"/>
          <w:pgMar w:left="1440" w:right="1440" w:gutter="0" w:header="0" w:top="1440" w:footer="720" w:bottom="1080"/>
          <w:pgNumType w:start="0" w:fmt="decimal"/>
          <w:formProt w:val="false"/>
          <w:titlePg/>
          <w:textDirection w:val="lrTb"/>
          <w:docGrid w:type="default" w:linePitch="96"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rPr/>
      </w:pPr>
      <w:r>
        <w:rPr/>
      </w:r>
    </w:p>
    <w:p>
      <w:pPr>
        <w:pStyle w:val="Normal"/>
        <w:spacing w:lineRule="auto" w:line="360"/>
        <w:rPr/>
      </w:pPr>
      <w:r>
        <w:rPr/>
      </w:r>
    </w:p>
    <w:p>
      <w:pPr>
        <w:pStyle w:val="Heading"/>
        <w:rPr>
          <w:sz w:val="32"/>
        </w:rPr>
      </w:pPr>
      <w:bookmarkStart w:id="0" w:name="__RefHeading___Toc499529806"/>
      <w:bookmarkEnd w:id="0"/>
      <w:r>
        <w:rPr>
          <w:sz w:val="32"/>
        </w:rPr>
        <w:t>Table of Contents</w:t>
      </w:r>
    </w:p>
    <w:p>
      <w:pPr>
        <w:pStyle w:val="Normal"/>
        <w:spacing w:lineRule="auto" w:line="360"/>
        <w:rPr>
          <w:sz w:val="32"/>
        </w:rPr>
      </w:pPr>
      <w:r>
        <w:rPr>
          <w:sz w:val="32"/>
        </w:rPr>
      </w:r>
    </w:p>
    <w:p>
      <w:pPr>
        <w:pStyle w:val="Normal"/>
        <w:spacing w:lineRule="auto" w:line="360"/>
        <w:rPr/>
      </w:pPr>
      <w:r>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rStyle w:val="IndexLink"/>
              <w:sz w:val="32"/>
              <w:lang w:val="en-CA" w:eastAsia="en-CA"/>
            </w:rPr>
            <w:instrText xml:space="preserve"> TOC \o "1-3" \h \z \t "Title,1" </w:instrText>
          </w:r>
          <w:r>
            <w:rPr>
              <w:rStyle w:val="IndexLink"/>
              <w:sz w:val="32"/>
              <w:lang w:val="en-CA" w:eastAsia="en-CA"/>
            </w:rPr>
            <w:fldChar w:fldCharType="separate"/>
          </w:r>
          <w:hyperlink w:anchor="__RefHeading___Toc499529806">
            <w:r>
              <w:rPr>
                <w:rStyle w:val="IndexLink"/>
                <w:sz w:val="32"/>
                <w:lang w:val="en-CA" w:eastAsia="en-CA"/>
              </w:rPr>
              <w:t>Table of Contents</w:t>
            </w:r>
            <w:r>
              <w:rPr>
                <w:rStyle w:val="IndexLink"/>
                <w:lang w:val="en-CA" w:eastAsia="en-CA"/>
              </w:rPr>
              <w:tab/>
              <w:t>i</w:t>
            </w:r>
          </w:hyperlink>
        </w:p>
        <w:p>
          <w:pPr>
            <w:pStyle w:val="TOC1"/>
            <w:tabs>
              <w:tab w:val="clear" w:pos="720"/>
              <w:tab w:val="right" w:pos="9350" w:leader="dot"/>
            </w:tabs>
            <w:rPr>
              <w:lang w:val="en-CA" w:eastAsia="en-CA"/>
            </w:rPr>
          </w:pPr>
          <w:hyperlink w:anchor="__RefHeading___Toc499529807">
            <w:r>
              <w:rPr>
                <w:rStyle w:val="IndexLink"/>
                <w:sz w:val="32"/>
                <w:lang w:val="en-CA" w:eastAsia="en-CA"/>
              </w:rPr>
              <w:t>Executive Summary</w:t>
            </w:r>
            <w:r>
              <w:rPr>
                <w:rStyle w:val="IndexLink"/>
                <w:lang w:val="en-CA" w:eastAsia="en-CA"/>
              </w:rPr>
              <w:tab/>
              <w:t>ii</w:t>
            </w:r>
          </w:hyperlink>
        </w:p>
        <w:p>
          <w:pPr>
            <w:pStyle w:val="TOC1"/>
            <w:tabs>
              <w:tab w:val="clear" w:pos="720"/>
              <w:tab w:val="left" w:pos="480" w:leader="none"/>
              <w:tab w:val="right" w:pos="9350" w:leader="dot"/>
            </w:tabs>
            <w:rPr>
              <w:lang w:val="en-CA" w:eastAsia="en-CA"/>
            </w:rPr>
          </w:pPr>
          <w:hyperlink w:anchor="__RefHeading___Toc499529808">
            <w:r>
              <w:rPr>
                <w:rStyle w:val="IndexLink"/>
                <w:lang w:val="en-CA" w:eastAsia="en-CA"/>
              </w:rPr>
              <w:t>I.</w:t>
              <w:tab/>
              <w:t>Introduction</w:t>
              <w:tab/>
              <w:t>3</w:t>
            </w:r>
          </w:hyperlink>
        </w:p>
        <w:p>
          <w:pPr>
            <w:pStyle w:val="TOC1"/>
            <w:tabs>
              <w:tab w:val="clear" w:pos="720"/>
              <w:tab w:val="left" w:pos="480" w:leader="none"/>
              <w:tab w:val="right" w:pos="9350" w:leader="dot"/>
            </w:tabs>
            <w:rPr>
              <w:lang w:val="en-CA" w:eastAsia="en-CA"/>
            </w:rPr>
          </w:pPr>
          <w:hyperlink w:anchor="__RefHeading___Toc499529809">
            <w:r>
              <w:rPr>
                <w:rStyle w:val="IndexLink"/>
                <w:lang w:val="en-CA" w:eastAsia="en-CA"/>
              </w:rPr>
              <w:t>II.</w:t>
              <w:tab/>
              <w:t>Overview: Three Points are Central to Correcting the Markets.</w:t>
              <w:tab/>
              <w:t>4</w:t>
            </w:r>
          </w:hyperlink>
        </w:p>
        <w:p>
          <w:pPr>
            <w:pStyle w:val="TOC2"/>
            <w:tabs>
              <w:tab w:val="left" w:pos="720" w:leader="none"/>
              <w:tab w:val="right" w:pos="9350" w:leader="dot"/>
            </w:tabs>
            <w:rPr>
              <w:lang w:val="en-CA" w:eastAsia="en-CA"/>
            </w:rPr>
          </w:pPr>
          <w:hyperlink w:anchor="__RefHeading___Toc499529810">
            <w:r>
              <w:rPr>
                <w:rStyle w:val="IndexLink"/>
                <w:lang w:val="en-CA" w:eastAsia="en-CA"/>
              </w:rPr>
              <w:t>A.</w:t>
              <w:tab/>
              <w:t>Construction of Generation and Transmission is Critical</w:t>
              <w:tab/>
              <w:t>5</w:t>
            </w:r>
          </w:hyperlink>
        </w:p>
        <w:p>
          <w:pPr>
            <w:pStyle w:val="TOC2"/>
            <w:tabs>
              <w:tab w:val="left" w:pos="720" w:leader="none"/>
              <w:tab w:val="right" w:pos="9350" w:leader="dot"/>
            </w:tabs>
            <w:rPr>
              <w:lang w:val="en-CA" w:eastAsia="en-CA"/>
            </w:rPr>
          </w:pPr>
          <w:hyperlink w:anchor="__RefHeading___Toc499529811">
            <w:r>
              <w:rPr>
                <w:rStyle w:val="IndexLink"/>
                <w:lang w:val="en-CA" w:eastAsia="en-CA"/>
              </w:rPr>
              <w:t>B.</w:t>
              <w:tab/>
              <w:t>Increased Use of Forward Markets</w:t>
              <w:tab/>
              <w:t>6</w:t>
            </w:r>
          </w:hyperlink>
        </w:p>
        <w:p>
          <w:pPr>
            <w:pStyle w:val="TOC2"/>
            <w:tabs>
              <w:tab w:val="left" w:pos="720" w:leader="none"/>
              <w:tab w:val="right" w:pos="9350" w:leader="dot"/>
            </w:tabs>
            <w:rPr>
              <w:lang w:val="en-CA" w:eastAsia="en-CA"/>
            </w:rPr>
          </w:pPr>
          <w:hyperlink w:anchor="__RefHeading___Toc499529812">
            <w:r>
              <w:rPr>
                <w:rStyle w:val="IndexLink"/>
                <w:lang w:val="en-CA" w:eastAsia="en-CA"/>
              </w:rPr>
              <w:t>C.</w:t>
              <w:tab/>
              <w:t>Robust Retail Market and Demand Response</w:t>
              <w:tab/>
              <w:t>8</w:t>
            </w:r>
          </w:hyperlink>
        </w:p>
        <w:p>
          <w:pPr>
            <w:pStyle w:val="TOC1"/>
            <w:tabs>
              <w:tab w:val="left" w:pos="720" w:leader="none"/>
              <w:tab w:val="right" w:pos="9350" w:leader="dot"/>
            </w:tabs>
            <w:rPr>
              <w:lang w:val="en-CA" w:eastAsia="en-CA"/>
            </w:rPr>
          </w:pPr>
          <w:hyperlink w:anchor="__RefHeading___Toc499529813">
            <w:r>
              <w:rPr>
                <w:rStyle w:val="IndexLink"/>
                <w:lang w:val="en-CA" w:eastAsia="en-CA"/>
              </w:rPr>
              <w:t>III.</w:t>
              <w:tab/>
              <w:t>Recognizing of the Underlying Problems</w:t>
              <w:tab/>
              <w:t>9</w:t>
            </w:r>
          </w:hyperlink>
        </w:p>
        <w:p>
          <w:pPr>
            <w:pStyle w:val="TOC2"/>
            <w:tabs>
              <w:tab w:val="left" w:pos="720" w:leader="none"/>
              <w:tab w:val="right" w:pos="9350" w:leader="dot"/>
            </w:tabs>
            <w:rPr>
              <w:lang w:val="en-CA" w:eastAsia="en-CA"/>
            </w:rPr>
          </w:pPr>
          <w:hyperlink w:anchor="__RefHeading___Toc499529814">
            <w:r>
              <w:rPr>
                <w:rStyle w:val="IndexLink"/>
                <w:lang w:val="en-CA" w:eastAsia="en-CA"/>
              </w:rPr>
              <w:t>A.</w:t>
              <w:tab/>
              <w:t>“Responsibility” for the Current Supply-Demand Imbalance</w:t>
              <w:tab/>
              <w:t>9</w:t>
            </w:r>
          </w:hyperlink>
        </w:p>
        <w:p>
          <w:pPr>
            <w:pStyle w:val="TOC2"/>
            <w:tabs>
              <w:tab w:val="left" w:pos="720" w:leader="none"/>
              <w:tab w:val="right" w:pos="9350" w:leader="dot"/>
            </w:tabs>
            <w:rPr>
              <w:lang w:val="en-CA" w:eastAsia="en-CA"/>
            </w:rPr>
          </w:pPr>
          <w:hyperlink w:anchor="__RefHeading___Toc499529815">
            <w:r>
              <w:rPr>
                <w:rStyle w:val="IndexLink"/>
                <w:lang w:val="en-CA" w:eastAsia="en-CA"/>
              </w:rPr>
              <w:t>B.</w:t>
              <w:tab/>
              <w:t>Over-Reliance On Spot Market And On Imports Proved To Be A Poor Market Design</w:t>
              <w:tab/>
              <w:t>11</w:t>
            </w:r>
          </w:hyperlink>
        </w:p>
        <w:p>
          <w:pPr>
            <w:pStyle w:val="TOC2"/>
            <w:tabs>
              <w:tab w:val="left" w:pos="720" w:leader="none"/>
              <w:tab w:val="right" w:pos="9350" w:leader="dot"/>
            </w:tabs>
            <w:rPr>
              <w:lang w:val="en-CA" w:eastAsia="en-CA"/>
            </w:rPr>
          </w:pPr>
          <w:hyperlink w:anchor="__RefHeading___Toc499529816">
            <w:r>
              <w:rPr>
                <w:rStyle w:val="IndexLink"/>
                <w:lang w:val="en-CA" w:eastAsia="en-CA"/>
              </w:rPr>
              <w:t>C.</w:t>
              <w:tab/>
              <w:t>The Initial “Transition” Policies And Current Market Conditions Resulted In Unfavorable Circumstances For The Ultimate Consumers</w:t>
              <w:tab/>
              <w:t>13</w:t>
            </w:r>
          </w:hyperlink>
        </w:p>
        <w:p>
          <w:pPr>
            <w:pStyle w:val="TOC1"/>
            <w:tabs>
              <w:tab w:val="left" w:pos="720" w:leader="none"/>
              <w:tab w:val="right" w:pos="9350" w:leader="dot"/>
            </w:tabs>
            <w:rPr>
              <w:lang w:val="en-CA" w:eastAsia="en-CA"/>
            </w:rPr>
          </w:pPr>
          <w:hyperlink w:anchor="__RefHeading___Toc499529817">
            <w:r>
              <w:rPr>
                <w:rStyle w:val="IndexLink"/>
                <w:lang w:val="en-CA" w:eastAsia="en-CA"/>
              </w:rPr>
              <w:t>IV.</w:t>
              <w:tab/>
              <w:t>What FERC Can Do</w:t>
              <w:tab/>
              <w:t>16</w:t>
            </w:r>
          </w:hyperlink>
        </w:p>
        <w:p>
          <w:pPr>
            <w:pStyle w:val="TOC2"/>
            <w:tabs>
              <w:tab w:val="left" w:pos="720" w:leader="none"/>
              <w:tab w:val="right" w:pos="9350" w:leader="dot"/>
            </w:tabs>
            <w:rPr>
              <w:lang w:val="en-CA" w:eastAsia="en-CA"/>
            </w:rPr>
          </w:pPr>
          <w:hyperlink w:anchor="__RefHeading___Toc499529818">
            <w:r>
              <w:rPr>
                <w:rStyle w:val="IndexLink"/>
                <w:lang w:val="en-CA" w:eastAsia="en-CA"/>
              </w:rPr>
              <w:t>A.</w:t>
              <w:tab/>
              <w:t>Create Market Stability and Enhance Regulatory Certainty</w:t>
              <w:tab/>
              <w:t>16</w:t>
            </w:r>
          </w:hyperlink>
        </w:p>
        <w:p>
          <w:pPr>
            <w:pStyle w:val="TOC2"/>
            <w:tabs>
              <w:tab w:val="left" w:pos="720" w:leader="none"/>
              <w:tab w:val="right" w:pos="9350" w:leader="dot"/>
            </w:tabs>
            <w:rPr>
              <w:lang w:val="en-CA" w:eastAsia="en-CA"/>
            </w:rPr>
          </w:pPr>
          <w:hyperlink w:anchor="__RefHeading___Toc499529819">
            <w:r>
              <w:rPr>
                <w:rStyle w:val="IndexLink"/>
                <w:lang w:val="en-CA" w:eastAsia="en-CA"/>
              </w:rPr>
              <w:t>B.</w:t>
              <w:tab/>
              <w:t>Develop Clearly Defined Standards of Review</w:t>
              <w:tab/>
              <w:t>17</w:t>
            </w:r>
          </w:hyperlink>
        </w:p>
        <w:p>
          <w:pPr>
            <w:pStyle w:val="TOC2"/>
            <w:tabs>
              <w:tab w:val="left" w:pos="720" w:leader="none"/>
              <w:tab w:val="right" w:pos="9350" w:leader="dot"/>
            </w:tabs>
            <w:rPr>
              <w:lang w:val="en-CA" w:eastAsia="en-CA"/>
            </w:rPr>
          </w:pPr>
          <w:hyperlink w:anchor="__RefHeading___Toc499529820">
            <w:r>
              <w:rPr>
                <w:rStyle w:val="IndexLink"/>
                <w:lang w:val="en-CA" w:eastAsia="en-CA"/>
              </w:rPr>
              <w:t>C.</w:t>
              <w:tab/>
              <w:t>Create and Ensure a Truly Independent CAISO Board</w:t>
              <w:tab/>
              <w:t>17</w:t>
            </w:r>
          </w:hyperlink>
        </w:p>
        <w:p>
          <w:pPr>
            <w:pStyle w:val="TOC2"/>
            <w:tabs>
              <w:tab w:val="left" w:pos="720" w:leader="none"/>
              <w:tab w:val="right" w:pos="9350" w:leader="dot"/>
            </w:tabs>
            <w:rPr>
              <w:lang w:val="en-CA" w:eastAsia="en-CA"/>
            </w:rPr>
          </w:pPr>
          <w:hyperlink w:anchor="__RefHeading___Toc499529821">
            <w:r>
              <w:rPr>
                <w:rStyle w:val="IndexLink"/>
                <w:lang w:val="en-CA" w:eastAsia="en-CA"/>
              </w:rPr>
              <w:t>D.</w:t>
              <w:tab/>
              <w:t>If Taken, Clearly Establish Any “Transition” Period</w:t>
              <w:tab/>
              <w:t>18</w:t>
            </w:r>
          </w:hyperlink>
        </w:p>
        <w:p>
          <w:pPr>
            <w:pStyle w:val="TOC1"/>
            <w:tabs>
              <w:tab w:val="clear" w:pos="720"/>
              <w:tab w:val="left" w:pos="480" w:leader="none"/>
              <w:tab w:val="right" w:pos="9350" w:leader="dot"/>
            </w:tabs>
            <w:rPr>
              <w:lang w:val="en-CA" w:eastAsia="en-CA"/>
            </w:rPr>
          </w:pPr>
          <w:hyperlink w:anchor="__RefHeading___Toc499529822">
            <w:r>
              <w:rPr>
                <w:rStyle w:val="IndexLink"/>
                <w:lang w:val="en-CA" w:eastAsia="en-CA"/>
              </w:rPr>
              <w:t>V.</w:t>
              <w:tab/>
              <w:t>Specific Comments on FERC November Order</w:t>
              <w:tab/>
              <w:t>18</w:t>
            </w:r>
          </w:hyperlink>
        </w:p>
        <w:p>
          <w:pPr>
            <w:pStyle w:val="TOC2"/>
            <w:tabs>
              <w:tab w:val="left" w:pos="720" w:leader="none"/>
              <w:tab w:val="right" w:pos="9350" w:leader="dot"/>
            </w:tabs>
            <w:rPr>
              <w:lang w:val="en-CA" w:eastAsia="en-CA"/>
            </w:rPr>
          </w:pPr>
          <w:hyperlink w:anchor="__RefHeading___Toc499529823">
            <w:r>
              <w:rPr>
                <w:rStyle w:val="IndexLink"/>
                <w:lang w:val="en-CA" w:eastAsia="en-CA"/>
              </w:rPr>
              <w:t>A.</w:t>
              <w:tab/>
              <w:t>Clarifications / Modifications are Needed to the November Order</w:t>
              <w:tab/>
              <w:t>19</w:t>
            </w:r>
          </w:hyperlink>
        </w:p>
        <w:p>
          <w:pPr>
            <w:pStyle w:val="TOC3"/>
            <w:tabs>
              <w:tab w:val="clear" w:pos="720"/>
              <w:tab w:val="left" w:pos="960" w:leader="none"/>
              <w:tab w:val="right" w:pos="9350" w:leader="dot"/>
            </w:tabs>
            <w:rPr>
              <w:lang w:val="en-CA" w:eastAsia="en-CA"/>
            </w:rPr>
          </w:pPr>
          <w:hyperlink w:anchor="__RefHeading___Toc499529824">
            <w:r>
              <w:rPr>
                <w:rStyle w:val="IndexLink"/>
                <w:lang w:val="en-CA" w:eastAsia="en-CA"/>
              </w:rPr>
              <w:t>1.</w:t>
              <w:tab/>
              <w:t>The Specter of Retroactive Refunds and “Equitable Solutions”</w:t>
              <w:tab/>
              <w:t>19</w:t>
            </w:r>
          </w:hyperlink>
        </w:p>
        <w:p>
          <w:pPr>
            <w:pStyle w:val="TOC3"/>
            <w:tabs>
              <w:tab w:val="clear" w:pos="720"/>
              <w:tab w:val="left" w:pos="960" w:leader="none"/>
              <w:tab w:val="right" w:pos="9350" w:leader="dot"/>
            </w:tabs>
            <w:rPr>
              <w:lang w:val="en-CA" w:eastAsia="en-CA"/>
            </w:rPr>
          </w:pPr>
          <w:hyperlink w:anchor="__RefHeading___Toc499529825">
            <w:r>
              <w:rPr>
                <w:rStyle w:val="IndexLink"/>
                <w:lang w:val="en-CA" w:eastAsia="en-CA"/>
              </w:rPr>
              <w:t>2.</w:t>
              <w:tab/>
              <w:t>The Basis For Prospective Refunds Should Be Clearly Established as the Abuse of Market Power</w:t>
              <w:tab/>
              <w:t>22</w:t>
            </w:r>
          </w:hyperlink>
        </w:p>
        <w:p>
          <w:pPr>
            <w:pStyle w:val="TOC3"/>
            <w:tabs>
              <w:tab w:val="clear" w:pos="720"/>
              <w:tab w:val="left" w:pos="960" w:leader="none"/>
              <w:tab w:val="right" w:pos="9350" w:leader="dot"/>
            </w:tabs>
            <w:rPr>
              <w:lang w:val="en-CA" w:eastAsia="en-CA"/>
            </w:rPr>
          </w:pPr>
          <w:hyperlink w:anchor="__RefHeading___Toc499529826">
            <w:r>
              <w:rPr>
                <w:rStyle w:val="IndexLink"/>
                <w:lang w:val="en-CA" w:eastAsia="en-CA"/>
              </w:rPr>
              <w:t>3.</w:t>
              <w:tab/>
              <w:t>Issues Concerning Implementation of the “Soft Cap.”</w:t>
              <w:tab/>
              <w:t>23</w:t>
            </w:r>
          </w:hyperlink>
        </w:p>
        <w:p>
          <w:pPr>
            <w:pStyle w:val="TOC2"/>
            <w:tabs>
              <w:tab w:val="left" w:pos="720" w:leader="none"/>
              <w:tab w:val="right" w:pos="9350" w:leader="dot"/>
            </w:tabs>
            <w:rPr>
              <w:lang w:val="en-CA" w:eastAsia="en-CA"/>
            </w:rPr>
          </w:pPr>
          <w:hyperlink w:anchor="__RefHeading___Toc499529827">
            <w:r>
              <w:rPr>
                <w:rStyle w:val="IndexLink"/>
                <w:lang w:val="en-CA" w:eastAsia="en-CA"/>
              </w:rPr>
              <w:t>B.</w:t>
              <w:tab/>
              <w:t>Elimination of a Lingering Refund Risk</w:t>
              <w:tab/>
              <w:t>26</w:t>
            </w:r>
          </w:hyperlink>
        </w:p>
        <w:p>
          <w:pPr>
            <w:pStyle w:val="TOC2"/>
            <w:tabs>
              <w:tab w:val="left" w:pos="720" w:leader="none"/>
              <w:tab w:val="right" w:pos="9350" w:leader="dot"/>
            </w:tabs>
            <w:rPr>
              <w:lang w:val="en-CA" w:eastAsia="en-CA"/>
            </w:rPr>
          </w:pPr>
          <w:hyperlink w:anchor="__RefHeading___Toc499529828">
            <w:r>
              <w:rPr>
                <w:rStyle w:val="IndexLink"/>
                <w:lang w:val="en-CA" w:eastAsia="en-CA"/>
              </w:rPr>
              <w:t>C.</w:t>
              <w:tab/>
              <w:t>“Load Differentiated” Price Caps Are Unworkable And Undermine Market Operations</w:t>
              <w:tab/>
              <w:t>26</w:t>
            </w:r>
          </w:hyperlink>
        </w:p>
        <w:p>
          <w:pPr>
            <w:pStyle w:val="TOC1"/>
            <w:tabs>
              <w:tab w:val="left" w:pos="720" w:leader="none"/>
              <w:tab w:val="right" w:pos="9350" w:leader="dot"/>
            </w:tabs>
            <w:rPr>
              <w:lang w:val="en-CA" w:eastAsia="en-CA"/>
            </w:rPr>
          </w:pPr>
          <w:hyperlink w:anchor="__RefHeading___Toc499529829">
            <w:r>
              <w:rPr>
                <w:rStyle w:val="IndexLink"/>
                <w:lang w:val="en-CA" w:eastAsia="en-CA"/>
              </w:rPr>
              <w:t>VI.</w:t>
              <w:tab/>
              <w:t>State Level Impediments Frustrate Market Self-Correction</w:t>
              <w:tab/>
              <w:t>27</w:t>
            </w:r>
          </w:hyperlink>
        </w:p>
        <w:p>
          <w:pPr>
            <w:pStyle w:val="TOC1"/>
            <w:tabs>
              <w:tab w:val="left" w:pos="720" w:leader="none"/>
              <w:tab w:val="right" w:pos="9350" w:leader="dot"/>
            </w:tabs>
            <w:rPr>
              <w:lang w:val="en-CA" w:eastAsia="en-CA"/>
            </w:rPr>
          </w:pPr>
          <w:hyperlink w:anchor="__RefHeading___Toc499529830">
            <w:r>
              <w:rPr>
                <w:rStyle w:val="IndexLink"/>
                <w:lang w:val="en-CA" w:eastAsia="en-CA"/>
              </w:rPr>
              <w:t>VII.</w:t>
              <w:tab/>
              <w:t>Conclusion: It is Critical to Move Forward to Solve These Problems</w:t>
              <w:tab/>
              <w:t>31</w:t>
            </w:r>
          </w:hyperlink>
          <w:r>
            <w:rPr>
              <w:rStyle w:val="IndexLink"/>
              <w:lang w:val="en-CA" w:eastAsia="en-CA"/>
            </w:rPr>
            <w:fldChar w:fldCharType="end"/>
          </w:r>
        </w:p>
      </w:sdtContent>
    </w:sdt>
    <w:p>
      <w:pPr>
        <w:pStyle w:val="Normal"/>
        <w:spacing w:lineRule="auto" w:line="360"/>
        <w:rPr>
          <w:lang w:val="en-CA" w:eastAsia="en-CA"/>
        </w:rPr>
      </w:pPr>
      <w:r>
        <w:rPr>
          <w:lang w:val="en-CA" w:eastAsia="en-CA"/>
        </w:rPr>
      </w:r>
      <w:r>
        <w:br w:type="page"/>
      </w:r>
    </w:p>
    <w:p>
      <w:pPr>
        <w:pStyle w:val="Heading"/>
        <w:rPr>
          <w:sz w:val="32"/>
        </w:rPr>
      </w:pPr>
      <w:bookmarkStart w:id="1" w:name="__RefHeading___Toc499529807"/>
      <w:bookmarkEnd w:id="1"/>
      <w:r>
        <w:rPr>
          <w:sz w:val="32"/>
        </w:rPr>
        <w:t>Executive Summary</w:t>
      </w:r>
    </w:p>
    <w:p>
      <w:pPr>
        <w:pStyle w:val="Normal"/>
        <w:spacing w:lineRule="auto" w:line="360"/>
        <w:rPr>
          <w:sz w:val="16"/>
        </w:rPr>
      </w:pPr>
      <w:r>
        <w:rPr>
          <w:sz w:val="16"/>
        </w:rPr>
      </w:r>
    </w:p>
    <w:p>
      <w:pPr>
        <w:pStyle w:val="Normal"/>
        <w:spacing w:lineRule="auto" w:line="360"/>
        <w:rPr>
          <w:sz w:val="16"/>
        </w:rPr>
      </w:pPr>
      <w:r>
        <w:rPr>
          <w:sz w:val="16"/>
        </w:rPr>
      </w:r>
    </w:p>
    <w:p>
      <w:pPr>
        <w:pStyle w:val="BodyTextIndent"/>
        <w:spacing w:lineRule="auto" w:line="360"/>
        <w:rPr/>
      </w:pPr>
      <w:r>
        <w:rPr/>
        <w:t xml:space="preserve">IEP supports the FERC Report and November Order as a prompt and even-handed analysis of the California market.  IEP believes that there are three main issues—or elements—of market reform which are the most promising in terms of getting California “back on track”, and each has components that can be undertaken on near- and long-term time frames.  These three elements are: </w:t>
      </w:r>
    </w:p>
    <w:p>
      <w:pPr>
        <w:pStyle w:val="BodyTextIndent3"/>
        <w:rPr/>
      </w:pPr>
      <w:r>
        <w:rPr/>
        <w:t xml:space="preserve">(1)  the rapid development of new generation resources and enhancement of transmission capacity; </w:t>
      </w:r>
    </w:p>
    <w:p>
      <w:pPr>
        <w:pStyle w:val="BodyTextIndent3"/>
        <w:rPr/>
      </w:pPr>
      <w:r>
        <w:rPr/>
      </w:r>
    </w:p>
    <w:p>
      <w:pPr>
        <w:pStyle w:val="Normal"/>
        <w:ind w:hanging="355" w:start="1065" w:end="0"/>
        <w:rPr/>
      </w:pPr>
      <w:r>
        <w:rPr/>
        <w:t xml:space="preserve">(2) increased use of the forward markets to secure adequate supplies for demand which can then be scheduled in advance; and </w:t>
      </w:r>
    </w:p>
    <w:p>
      <w:pPr>
        <w:pStyle w:val="Normal"/>
        <w:ind w:hanging="355" w:start="1065" w:end="0"/>
        <w:rPr/>
      </w:pPr>
      <w:r>
        <w:rPr/>
      </w:r>
    </w:p>
    <w:p>
      <w:pPr>
        <w:pStyle w:val="Normal"/>
        <w:ind w:hanging="355" w:start="1065" w:end="0"/>
        <w:rPr/>
      </w:pPr>
      <w:r>
        <w:rPr/>
        <w:t xml:space="preserve">(3) the development of a meaningful and robust retail marketplace with price-responsive demand opportunities.   </w:t>
      </w:r>
    </w:p>
    <w:p>
      <w:pPr>
        <w:pStyle w:val="Normal"/>
        <w:ind w:hanging="355" w:start="1065" w:end="0"/>
        <w:rPr/>
      </w:pPr>
      <w:r>
        <w:rPr/>
      </w:r>
    </w:p>
    <w:p>
      <w:pPr>
        <w:pStyle w:val="Normal"/>
        <w:spacing w:lineRule="auto" w:line="360"/>
        <w:ind w:firstLine="710" w:end="0"/>
        <w:rPr/>
      </w:pPr>
      <w:r>
        <w:rPr/>
        <w:t>Time is of the essence.  Decisive steps are needed now to improve the investment climate and provide some regulatory certainty.  IEP supports the elimination of the “mandatory buy/sell” requirement.  Cooperative efforts by FERC and the CPUC are needed to allow for greater forward participation by load-serving entities.  The increased forward activity will remove the current over-use of CAISO’s imbalance market.</w:t>
      </w:r>
    </w:p>
    <w:p>
      <w:pPr>
        <w:pStyle w:val="Normal"/>
        <w:spacing w:lineRule="auto" w:line="360"/>
        <w:ind w:firstLine="710" w:end="0"/>
        <w:rPr/>
      </w:pPr>
      <w:r>
        <w:rPr/>
        <w:t>IEP supports the replacement of the current CAISO board with an smaller, independent board structure.  Steps must be taken to ensure an “independent” and less politicized CAISO.</w:t>
      </w:r>
    </w:p>
    <w:p>
      <w:pPr>
        <w:pStyle w:val="BodyTextIndent"/>
        <w:spacing w:lineRule="auto" w:line="360"/>
        <w:rPr/>
      </w:pPr>
      <w:r>
        <w:rPr/>
        <w:t xml:space="preserve">IEP is opposed to price caps and does not believe they benefit the marketplace.  Their continued presence impedes market operations and distorts price signals.  Floating caps, such as the recently rejected “load differentiated price cap” must be rejected as unworkable and counterproductive.  The “soft cap” proposal also appears problematic. CAISO may have implementation problems with the proposal, and it is likely to lead to increased settlement disputes.  The soft cap is particularly problematic for power marketers as it is tantamount to a hard cap.  The proposed level appears too low to induce investment in new resources.  Ambiguity regarding the proposal elevates current regulatory uncertainty.  </w:t>
      </w:r>
    </w:p>
    <w:p>
      <w:pPr>
        <w:pStyle w:val="BodyTextIndent"/>
        <w:spacing w:lineRule="auto" w:line="360"/>
        <w:rPr/>
      </w:pPr>
      <w:r>
        <w:rPr/>
        <w:t xml:space="preserve">IEP could only support the soft cap proposal if it is part of a negotiated package of inter-jurisdictional programs, provided that the soft cap is subject to a pre-established unidirectional escalation mechanism.  The inter-jurisdiction elements must include: </w:t>
      </w:r>
    </w:p>
    <w:p>
      <w:pPr>
        <w:pStyle w:val="BodyTextIndent"/>
        <w:numPr>
          <w:ilvl w:val="0"/>
          <w:numId w:val="6"/>
        </w:numPr>
        <w:spacing w:lineRule="auto" w:line="240"/>
        <w:rPr/>
      </w:pPr>
      <w:r>
        <w:rPr/>
        <w:t xml:space="preserve">establishment of standards applicable to potential refunds based on specific allegations of market power abuse in FERC jurisdictional markets; </w:t>
      </w:r>
    </w:p>
    <w:p>
      <w:pPr>
        <w:pStyle w:val="BodyTextIndent"/>
        <w:spacing w:lineRule="auto" w:line="240"/>
        <w:ind w:hanging="0" w:start="1080" w:end="0"/>
        <w:rPr/>
      </w:pPr>
      <w:r>
        <w:rPr/>
      </w:r>
    </w:p>
    <w:p>
      <w:pPr>
        <w:pStyle w:val="BodyTextIndent"/>
        <w:numPr>
          <w:ilvl w:val="0"/>
          <w:numId w:val="6"/>
        </w:numPr>
        <w:spacing w:lineRule="auto" w:line="240"/>
        <w:rPr/>
      </w:pPr>
      <w:r>
        <w:rPr/>
        <w:t>establishment of mechanisms for “flagging” transactions that will be the subject of reviews for potential refunds, declaring a “safe harbor” for non-flagged transactions, and providing for resolution of any reviews within a reasonable time;</w:t>
      </w:r>
    </w:p>
    <w:p>
      <w:pPr>
        <w:pStyle w:val="BodyTextIndent"/>
        <w:spacing w:lineRule="auto" w:line="240"/>
        <w:ind w:hanging="0" w:start="1080" w:end="0"/>
        <w:rPr/>
      </w:pPr>
      <w:r>
        <w:rPr/>
      </w:r>
    </w:p>
    <w:p>
      <w:pPr>
        <w:pStyle w:val="BodyTextIndent"/>
        <w:numPr>
          <w:ilvl w:val="0"/>
          <w:numId w:val="6"/>
        </w:numPr>
        <w:spacing w:lineRule="auto" w:line="240"/>
        <w:rPr/>
      </w:pPr>
      <w:r>
        <w:rPr/>
        <w:t>definition of durable reasonableness review standards applicable to wholesale purchases by the load serving utilities such that they will no longer be discouraged from entering bilateral arrangements on a forward basis;</w:t>
      </w:r>
    </w:p>
    <w:p>
      <w:pPr>
        <w:pStyle w:val="BodyTextIndent"/>
        <w:spacing w:lineRule="auto" w:line="240"/>
        <w:ind w:hanging="0" w:start="1080" w:end="0"/>
        <w:rPr/>
      </w:pPr>
      <w:r>
        <w:rPr/>
      </w:r>
    </w:p>
    <w:p>
      <w:pPr>
        <w:pStyle w:val="BodyTextIndent"/>
        <w:numPr>
          <w:ilvl w:val="0"/>
          <w:numId w:val="6"/>
        </w:numPr>
        <w:spacing w:lineRule="auto" w:line="240"/>
        <w:rPr/>
      </w:pPr>
      <w:r>
        <w:rPr/>
        <w:t>establishment of a “road map” by the California Commission that delineates a firm timeline—with milestones—for the review and resolution of retail market issues including market-based demand responsiveness;</w:t>
      </w:r>
    </w:p>
    <w:p>
      <w:pPr>
        <w:pStyle w:val="BodyTextIndent"/>
        <w:spacing w:lineRule="auto" w:line="240"/>
        <w:ind w:hanging="0" w:start="1080" w:end="0"/>
        <w:rPr/>
      </w:pPr>
      <w:r>
        <w:rPr/>
      </w:r>
    </w:p>
    <w:p>
      <w:pPr>
        <w:pStyle w:val="BodyTextIndent"/>
        <w:numPr>
          <w:ilvl w:val="0"/>
          <w:numId w:val="6"/>
        </w:numPr>
        <w:spacing w:lineRule="auto" w:line="240"/>
        <w:rPr/>
      </w:pPr>
      <w:r>
        <w:rPr/>
        <w:t>establishment of a “road map” by this Commission, in consultation with the CAISO, that delineates a firm timeline—with milestones—for the review and resolution of implementation issues associated with the Commission’s subsequent order in this docket as well as other outstanding proposals such as generation interconnection rules and congestion management;</w:t>
      </w:r>
    </w:p>
    <w:p>
      <w:pPr>
        <w:pStyle w:val="BodyTextIndent"/>
        <w:spacing w:lineRule="auto" w:line="240"/>
        <w:ind w:hanging="0" w:start="1080" w:end="0"/>
        <w:rPr/>
      </w:pPr>
      <w:r>
        <w:rPr/>
      </w:r>
    </w:p>
    <w:p>
      <w:pPr>
        <w:pStyle w:val="BodyTextIndent"/>
        <w:numPr>
          <w:ilvl w:val="0"/>
          <w:numId w:val="6"/>
        </w:numPr>
        <w:spacing w:lineRule="auto" w:line="240"/>
        <w:rPr/>
      </w:pPr>
      <w:r>
        <w:rPr/>
        <w:t>establishment of a firm sunset date, not to exceed 2003, to bound the duration of a soft cap;</w:t>
      </w:r>
    </w:p>
    <w:p>
      <w:pPr>
        <w:pStyle w:val="BodyTextIndent"/>
        <w:spacing w:lineRule="auto" w:line="240"/>
        <w:ind w:hanging="0" w:start="1080" w:end="0"/>
        <w:rPr/>
      </w:pPr>
      <w:r>
        <w:rPr/>
      </w:r>
    </w:p>
    <w:p>
      <w:pPr>
        <w:pStyle w:val="BodyTextIndent"/>
        <w:numPr>
          <w:ilvl w:val="0"/>
          <w:numId w:val="6"/>
        </w:numPr>
        <w:spacing w:lineRule="auto" w:line="240"/>
        <w:rPr/>
      </w:pPr>
      <w:r>
        <w:rPr/>
        <w:t>implementation of an unidirectional soft cap escalation mechanism, not subject to subsequent lowering, which is based upon a pre-established schedule.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uto" w:line="360"/>
        <w:rPr/>
      </w:pPr>
      <w:r>
        <w:rPr/>
        <w:tab/>
        <w:t>The November Order requires clarification and modifications regarding the potential for refunds.  Language regarding “equitable solutions” and retroactive refunds is not supportable and creates unacceptable regulatory uncertainty.  FERC must develop clearly defined standards of review based upon an “abuse of market power” standard.  Some mechanism must be established to remove the lingering cloud of potential refunds by identifying those transactions which will be reviewed and allowing safe harbor for all others.  A “flagging” mechanism should be considered.</w:t>
      </w:r>
    </w:p>
    <w:p>
      <w:pPr>
        <w:pStyle w:val="BodyTextIndent"/>
        <w:spacing w:lineRule="auto" w:line="360"/>
        <w:rPr/>
      </w:pPr>
      <w:r>
        <w:rPr/>
        <w:t xml:space="preserve">There are a number of steps which should be undertaken by state regulators to improve forward contracting and develop retail competition and price-responsive demand.  These steps would work in conjunction with FERC’s efforts.  For example, the CPUC could: </w:t>
      </w:r>
    </w:p>
    <w:p>
      <w:pPr>
        <w:pStyle w:val="BodyTextIndent2"/>
        <w:numPr>
          <w:ilvl w:val="0"/>
          <w:numId w:val="3"/>
        </w:numPr>
        <w:rPr/>
      </w:pPr>
      <w:r>
        <w:rPr/>
        <w:t>move on issues regarding defining the role of the utilities and default providers in the restructured retail markets;</w:t>
      </w:r>
    </w:p>
    <w:p>
      <w:pPr>
        <w:pStyle w:val="BodyTextIndent2"/>
        <w:ind w:hanging="0" w:start="720" w:end="0"/>
        <w:rPr/>
      </w:pPr>
      <w:r>
        <w:rPr/>
      </w:r>
    </w:p>
    <w:p>
      <w:pPr>
        <w:pStyle w:val="BodyTextIndent2"/>
        <w:numPr>
          <w:ilvl w:val="0"/>
          <w:numId w:val="3"/>
        </w:numPr>
        <w:rPr/>
      </w:pPr>
      <w:r>
        <w:rPr/>
        <w:t xml:space="preserve">complete the process of rate unbundling it began in 1996 by fully separating commodity-related costs from wires costs;  </w:t>
      </w:r>
    </w:p>
    <w:p>
      <w:pPr>
        <w:pStyle w:val="BodyTextIndent2"/>
        <w:ind w:hanging="0" w:end="0"/>
        <w:rPr/>
      </w:pPr>
      <w:r>
        <w:rPr/>
      </w:r>
    </w:p>
    <w:p>
      <w:pPr>
        <w:pStyle w:val="BodyTextIndent2"/>
        <w:numPr>
          <w:ilvl w:val="0"/>
          <w:numId w:val="3"/>
        </w:numPr>
        <w:rPr/>
      </w:pPr>
      <w:r>
        <w:rPr/>
        <w:t>clarify and create some certainty regarding the reasonableness standards applicable to utility commodity procurement;</w:t>
      </w:r>
    </w:p>
    <w:p>
      <w:pPr>
        <w:pStyle w:val="BodyTextIndent2"/>
        <w:ind w:hanging="0" w:end="0"/>
        <w:rPr/>
      </w:pPr>
      <w:r>
        <w:rPr/>
      </w:r>
    </w:p>
    <w:p>
      <w:pPr>
        <w:pStyle w:val="BodyTextIndent2"/>
        <w:numPr>
          <w:ilvl w:val="0"/>
          <w:numId w:val="3"/>
        </w:numPr>
        <w:rPr/>
      </w:pPr>
      <w:r>
        <w:rPr/>
        <w:t xml:space="preserve">quickly complete the new investigation started last month into interruptible rates and demand responsiveness such that loads can respond before a system emergency is declared.  </w:t>
      </w:r>
    </w:p>
    <w:p>
      <w:pPr>
        <w:pStyle w:val="BodyTextIndent2"/>
        <w:ind w:hanging="0" w:start="7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uto" w:line="360"/>
        <w:rPr/>
      </w:pPr>
      <w:r>
        <w:rPr/>
        <w:tab/>
        <w:t>It is critical to move forward as expeditiously as possible.  Summer will not wait and the next peak season will be hear within 210 days.</w:t>
      </w:r>
    </w:p>
    <w:p>
      <w:pPr>
        <w:sectPr>
          <w:footerReference w:type="default" r:id="rId4"/>
          <w:footerReference w:type="first" r:id="rId5"/>
          <w:type w:val="nextPage"/>
          <w:pgSz w:w="12240" w:h="15840"/>
          <w:pgMar w:left="1440" w:right="1440" w:gutter="0" w:header="0" w:top="1440" w:footer="720" w:bottom="1080"/>
          <w:pgNumType w:start="1" w:fmt="lowerRoman"/>
          <w:formProt w:val="false"/>
          <w:textDirection w:val="lrTb"/>
          <w:docGrid w:type="default" w:linePitch="96" w:charSpace="0"/>
        </w:sectPr>
        <w:pStyle w:val="Normal"/>
        <w:spacing w:lineRule="auto" w:line="360"/>
        <w:rPr>
          <w:sz w:val="12"/>
        </w:rPr>
      </w:pPr>
      <w:r>
        <w:rPr>
          <w:sz w:val="12"/>
        </w:rPr>
      </w:r>
    </w:p>
    <w:p>
      <w:pPr>
        <w:pStyle w:val="Subtitle"/>
        <w:rPr/>
      </w:pPr>
      <w:r>
        <w:rPr/>
        <w:t>UNITED STATES OF AMERICA</w:t>
      </w:r>
    </w:p>
    <w:p>
      <w:pPr>
        <w:pStyle w:val="Normal"/>
        <w:jc w:val="center"/>
        <w:rPr>
          <w:b/>
          <w:bCs/>
        </w:rPr>
      </w:pPr>
      <w:r>
        <w:rPr>
          <w:b/>
          <w:bCs/>
        </w:rPr>
        <w:t>BEFORE THE</w:t>
      </w:r>
    </w:p>
    <w:p>
      <w:pPr>
        <w:pStyle w:val="Normal"/>
        <w:jc w:val="center"/>
        <w:rPr>
          <w:b/>
          <w:bCs/>
        </w:rPr>
      </w:pP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San Diego Gas &amp; Electric Company</w:t>
        <w:tab/>
        <w:tab/>
        <w:t>)</w:t>
        <w:tab/>
        <w:t>Docket No. EL00-95-000</w:t>
      </w:r>
    </w:p>
    <w:p>
      <w:pPr>
        <w:pStyle w:val="Normal"/>
        <w:numPr>
          <w:ilvl w:val="0"/>
          <w:numId w:val="2"/>
        </w:numPr>
        <w:rPr/>
      </w:pPr>
      <w:r>
        <w:rPr/>
        <w:t>)</w:t>
        <w:tab/>
        <w:tab/>
      </w:r>
    </w:p>
    <w:p>
      <w:pPr>
        <w:pStyle w:val="Normal"/>
        <w:rPr/>
      </w:pPr>
      <w:r>
        <w:rPr/>
        <w:t>All Jurisdictional Sellers of Energy</w:t>
        <w:tab/>
        <w:tab/>
        <w:t>)</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tab/>
        <w:tab/>
        <w:tab/>
        <w:tab/>
        <w:tab/>
        <w:tab/>
        <w:t>)</w:t>
      </w:r>
    </w:p>
    <w:p>
      <w:pPr>
        <w:pStyle w:val="Normal"/>
        <w:rPr/>
      </w:pPr>
      <w:r>
        <w:rPr/>
        <w:t>Investigation of Practices of the California</w:t>
        <w:tab/>
        <w:t>)</w:t>
      </w:r>
    </w:p>
    <w:p>
      <w:pPr>
        <w:pStyle w:val="Normal"/>
        <w:rPr/>
      </w:pPr>
      <w:r>
        <w:rPr/>
        <w:t xml:space="preserve">Independent System Operator and the </w:t>
        <w:tab/>
        <w:t>)</w:t>
        <w:tab/>
        <w:t>Docket No. EL00-98-000</w:t>
      </w:r>
    </w:p>
    <w:p>
      <w:pPr>
        <w:pStyle w:val="Normal"/>
        <w:rPr/>
      </w:pPr>
      <w:r>
        <w:rPr/>
        <w:t>California Power Exchange;</w:t>
        <w:tab/>
        <w:tab/>
        <w:tab/>
        <w:t>)</w:t>
        <w:tab/>
        <w:tab/>
      </w:r>
    </w:p>
    <w:p>
      <w:pPr>
        <w:pStyle w:val="Normal"/>
        <w:rPr/>
      </w:pPr>
      <w:r>
        <w:rPr/>
        <w:tab/>
        <w:tab/>
        <w:tab/>
        <w:tab/>
        <w:tab/>
        <w:tab/>
        <w:t>)</w:t>
      </w:r>
    </w:p>
    <w:p>
      <w:pPr>
        <w:pStyle w:val="Normal"/>
        <w:rPr/>
      </w:pPr>
      <w:r>
        <w:rPr/>
        <w:t>Public Meeting in San Diego, California</w:t>
        <w:tab/>
        <w:t>)</w:t>
        <w:tab/>
        <w:t>Docket No. EL00-107-000</w:t>
      </w:r>
    </w:p>
    <w:p>
      <w:pPr>
        <w:pStyle w:val="Normal"/>
        <w:rPr/>
      </w:pPr>
      <w:r>
        <w:rPr/>
        <w:tab/>
        <w:tab/>
        <w:tab/>
        <w:tab/>
        <w:tab/>
        <w:tab/>
        <w:t>)</w:t>
        <w:tab/>
        <w:tab/>
      </w:r>
    </w:p>
    <w:p>
      <w:pPr>
        <w:pStyle w:val="Normal"/>
        <w:rPr/>
      </w:pPr>
      <w:r>
        <w:rPr/>
        <w:tab/>
        <w:tab/>
        <w:tab/>
        <w:tab/>
        <w:tab/>
        <w:tab/>
        <w:t>)</w:t>
      </w:r>
    </w:p>
    <w:p>
      <w:pPr>
        <w:pStyle w:val="Normal"/>
        <w:rPr/>
      </w:pPr>
      <w:r>
        <w:rPr/>
        <w:t>California Power Exchange Corporation</w:t>
        <w:tab/>
        <w:t>)</w:t>
        <w:tab/>
        <w:t>Docket No. ER00-3461- 000</w:t>
      </w:r>
    </w:p>
    <w:p>
      <w:pPr>
        <w:pStyle w:val="Normal"/>
        <w:rPr/>
      </w:pPr>
      <w:r>
        <w:rPr/>
        <w:tab/>
        <w:tab/>
        <w:tab/>
        <w:tab/>
        <w:tab/>
        <w:tab/>
        <w:t>)</w:t>
        <w:tab/>
        <w:tab/>
      </w:r>
    </w:p>
    <w:p>
      <w:pPr>
        <w:pStyle w:val="Normal"/>
        <w:rPr/>
      </w:pPr>
      <w:r>
        <w:rPr/>
        <w:tab/>
        <w:tab/>
        <w:tab/>
        <w:tab/>
        <w:tab/>
        <w:tab/>
        <w:t>)</w:t>
      </w:r>
    </w:p>
    <w:p>
      <w:pPr>
        <w:pStyle w:val="Normal"/>
        <w:rPr/>
      </w:pPr>
      <w:r>
        <w:rPr/>
        <w:t>California Independent System Operator</w:t>
        <w:tab/>
        <w:t>)</w:t>
        <w:tab/>
        <w:t>Docket No. ER00-3673-000</w:t>
      </w:r>
    </w:p>
    <w:p>
      <w:pPr>
        <w:pStyle w:val="Normal"/>
        <w:rPr/>
      </w:pPr>
      <w:r>
        <w:rPr>
          <w:u w:val="single"/>
        </w:rPr>
        <w:t>Corporation</w:t>
        <w:tab/>
        <w:tab/>
        <w:tab/>
        <w:tab/>
        <w:tab/>
      </w:r>
      <w:r>
        <w:rPr/>
        <w:t>)</w:t>
        <w:tab/>
        <w:tab/>
      </w:r>
    </w:p>
    <w:p>
      <w:pPr>
        <w:pStyle w:val="Normal"/>
        <w:rPr/>
      </w:pPr>
      <w:r>
        <w:rPr/>
      </w:r>
    </w:p>
    <w:p>
      <w:pPr>
        <w:pStyle w:val="Normal"/>
        <w:rPr/>
      </w:pPr>
      <w:r>
        <w:rPr/>
      </w:r>
    </w:p>
    <w:p>
      <w:pPr>
        <w:pStyle w:val="Normal"/>
        <w:jc w:val="center"/>
        <w:rPr>
          <w:b/>
        </w:rPr>
      </w:pPr>
      <w:r>
        <w:rPr>
          <w:b/>
        </w:rPr>
        <w:t>Comments</w:t>
      </w:r>
    </w:p>
    <w:p>
      <w:pPr>
        <w:pStyle w:val="Normal"/>
        <w:jc w:val="center"/>
        <w:rPr>
          <w:b/>
        </w:rPr>
      </w:pPr>
      <w:r>
        <w:rPr>
          <w:b/>
        </w:rPr>
        <w:t>of the Independent Energy Producers Association</w:t>
      </w:r>
    </w:p>
    <w:p>
      <w:pPr>
        <w:pStyle w:val="Normal"/>
        <w:jc w:val="center"/>
        <w:rPr>
          <w:b/>
        </w:rPr>
      </w:pPr>
      <w:r>
        <w:rPr>
          <w:b/>
        </w:rPr>
        <w:t>In Response to Commission’s November Order</w:t>
      </w:r>
    </w:p>
    <w:p>
      <w:pPr>
        <w:pStyle w:val="Normal"/>
        <w:jc w:val="center"/>
        <w:rPr>
          <w:b/>
        </w:rPr>
      </w:pPr>
      <w:r>
        <w:rPr>
          <w:b/>
        </w:rPr>
      </w:r>
    </w:p>
    <w:p>
      <w:pPr>
        <w:pStyle w:val="BodyTextIndent"/>
        <w:rPr/>
      </w:pPr>
      <w:r>
        <w:rPr/>
        <w:t xml:space="preserve">Pursuant to the procedural schedule established by the Federal Energy Regulatory Commission’s (“FERC” or “Commission”) in </w:t>
      </w:r>
      <w:r>
        <w:rPr>
          <w:i/>
          <w:iCs/>
        </w:rPr>
        <w:t>Order Proposing Remedies For California Wholesale Electric Markets</w:t>
      </w:r>
      <w:r>
        <w:rPr/>
        <w:t xml:space="preserve">, 93 FERC ¶61,121 (November 2000), (“November Order”) and in response to </w:t>
      </w:r>
      <w:r>
        <w:rPr>
          <w:i/>
          <w:iCs/>
        </w:rPr>
        <w:t>Notice of Chairman Hoecker’s Post-Hearing Questions</w:t>
      </w:r>
      <w:r>
        <w:rPr/>
        <w:t xml:space="preserve"> of November 17, 2000, the Independent Energy Producers Association (“IEP”) hereby provides its comments.</w:t>
      </w:r>
      <w:r>
        <w:rPr>
          <w:rStyle w:val="FootnoteCharacters"/>
          <w:rStyle w:val="FootnoteReference"/>
        </w:rPr>
        <w:footnoteReference w:id="2"/>
      </w:r>
      <w:r>
        <w:rPr/>
        <w:t xml:space="preserve">  IEP applauds the Commission for its prompt and even-handed analysis of the California situation and the leadership it has exhibited in this case.  We support the Commission’s efforts to help stabilize the regulatory environment in California.  IEP urges the Commission to make revisions to the California market structure as suggested below so that some degree of regulatory certainty can be established.  The current—and growing—state of regulatory uncertainty in California, fueled by calls for re-regulation or other drastic and unnecessary wholesale market redesigns, will ultimately undermine the solutions California needs in the long-run.  Rather than reinventing the markets from whole cloth, IEP supports those changes proposed by FERC that build upon and improve our current market structures.</w:t>
      </w:r>
    </w:p>
    <w:p>
      <w:pPr>
        <w:pStyle w:val="BodyTextIndent"/>
        <w:rPr/>
      </w:pPr>
      <w:r>
        <w:rPr/>
        <w:t xml:space="preserve">As described in detail below, the Commission has correctly identified a number of options and solutions that will correct problems found in California and the larger Western Region.  The Commission has provided a great service to California by identifying specific problem areas that, if corrected cooperatively by FERC and State regulators, will vastly improve the competitive markets.  Actions at the Federal and State levels are required to help get the industry restructuring “back on track.”  Clearly, the lion’s share of the steps that can be taken quickly and which are likely to bring the greatest improvements to market operations are those which fall within the State’s jurisdiction.  Those corrections will require prompt action and cooperation at the State level.  IEP is terribly concerned that the continued politicization of the issues will stymie a timely response.  </w:t>
      </w:r>
    </w:p>
    <w:p>
      <w:pPr>
        <w:pStyle w:val="BodyTextIndent"/>
        <w:rPr/>
      </w:pPr>
      <w:r>
        <w:rPr/>
        <w:t>Time is of the essence.  California’s problems can still be corrected if efforts are taken to create a stable regulatory environment.  However, if California regulators continue to focus on issues such as retroactive refunds rather than the development of new generation capacity and better functioning markets, California and the Western Region will be pulled into an ever deepening quagmire of supply insufficiency and regulatory uncertainty that far exceeds the reach of even a massive centralized governmental response.  Such a result will be a grave disservice to all of California.</w:t>
      </w:r>
    </w:p>
    <w:p>
      <w:pPr>
        <w:pStyle w:val="Heading1"/>
        <w:ind w:hanging="0" w:start="0"/>
        <w:rPr/>
      </w:pPr>
      <w:r>
        <w:rPr>
          <w:u w:val="none"/>
        </w:rPr>
        <w:t xml:space="preserve"> </w:t>
      </w:r>
      <w:r>
        <w:rPr>
          <w:u w:val="none"/>
        </w:rPr>
        <w:tab/>
      </w:r>
      <w:bookmarkStart w:id="2" w:name="__RefHeading___Toc499529808"/>
      <w:r>
        <w:rPr/>
        <w:t>Introduction</w:t>
      </w:r>
      <w:bookmarkEnd w:id="2"/>
    </w:p>
    <w:p>
      <w:pPr>
        <w:pStyle w:val="Normal"/>
        <w:spacing w:lineRule="auto" w:line="480"/>
        <w:ind w:firstLine="710" w:end="0"/>
        <w:rPr/>
      </w:pPr>
      <w:r>
        <w:rPr/>
        <w:t xml:space="preserve">The Independent Energy Producers Association was founded more than 19 years ago as a non-profit trade association to represent the interests of non-utility owned generators—primarily “qualifying facilities” (“QFs”) that developed efficient cogeneration and small power production facilities under PURPA.  As a result of pioneering efforts in the area of non-utility power production, California was able to develop an innovative, diverse and robust power supply. Today, IEP’s membership represents more than 20,000 MWs of diverse, in-state power capacity, including QFs, the owners of the </w:t>
      </w:r>
      <w:r>
        <w:rPr>
          <w:b/>
          <w:bCs/>
          <w:i/>
          <w:iCs/>
        </w:rPr>
        <w:t>voluntarily</w:t>
      </w:r>
      <w:r>
        <w:rPr/>
        <w:t xml:space="preserve"> divested utility plants, developers of new in-state supplies from renewable resources and clean natural gas facilities, as well as power marketers.  Through its efforts at this Commission, the California Public Utilities Commission ("CPUC" or "California Commission"), the California Independent System Operator ("CAISO"), the California Power Exchange Corporation (“CalPX”), as well as the state and federal legislatures, IEP has endeavored to foster a robust wholesale market design with project development and marketing opportunities.  IEP firmly believes that the long-run health of California—and the Western Region—will be best served by a well designed and operating competitive marketplace.</w:t>
      </w:r>
    </w:p>
    <w:p>
      <w:pPr>
        <w:pStyle w:val="Normal"/>
        <w:spacing w:lineRule="auto" w:line="480"/>
        <w:ind w:firstLine="710" w:end="0"/>
        <w:rPr/>
      </w:pPr>
      <w:r>
        <w:rPr/>
        <w:t xml:space="preserve">IEP’s comments are presented in six steps.  First comes an overview of the solutions that IEP believes are the most important.  Next is a description of the problems facing California, including the relationship to past decisions and the current state of the market.  We then discuss what FERC can and should specifically do, particularly in the context of the November Order.  The next section discusses what the State should do in recognition that some of the most necessary steps have been—and continue to be—within the purview of California regulators.  The comments conclude with a warning that time is of the essence if the coming peak season is to be managed without endless and escalating emergencies.  </w:t>
      </w:r>
    </w:p>
    <w:p>
      <w:pPr>
        <w:pStyle w:val="Heading1"/>
        <w:ind w:hanging="0" w:start="0"/>
        <w:rPr/>
      </w:pPr>
      <w:r>
        <w:rPr>
          <w:u w:val="none"/>
        </w:rPr>
        <w:t xml:space="preserve"> </w:t>
      </w:r>
      <w:r>
        <w:rPr>
          <w:u w:val="none"/>
        </w:rPr>
        <w:tab/>
      </w:r>
      <w:bookmarkStart w:id="3" w:name="__RefHeading___Toc499529809"/>
      <w:r>
        <w:rPr/>
        <w:t>Overview: Three Points are Central to Correcting the Markets.</w:t>
      </w:r>
      <w:bookmarkEnd w:id="3"/>
    </w:p>
    <w:p>
      <w:pPr>
        <w:pStyle w:val="BodyTextIndent"/>
        <w:rPr/>
      </w:pPr>
      <w:r>
        <w:rPr/>
        <w:t xml:space="preserve">IEP firmly believes that a comprehensive set of options and solutions can help get California’s markets, as well as other Western markets, “back on track.”  This will require a coordinated and cooperative effort between Federal and State regulators.  Three main issues—or elements—of reform have surfaced as the most promising, and each has components that can be undertaken on near- and long-term time frames.  These three elements are: </w:t>
      </w:r>
    </w:p>
    <w:p>
      <w:pPr>
        <w:pStyle w:val="BodyTextIndent3"/>
        <w:rPr/>
      </w:pPr>
      <w:r>
        <w:rPr/>
        <w:t xml:space="preserve">(1)  the rapid development of new generation resources and enhancement of transmission capacity; </w:t>
      </w:r>
    </w:p>
    <w:p>
      <w:pPr>
        <w:pStyle w:val="BodyTextIndent3"/>
        <w:rPr/>
      </w:pPr>
      <w:r>
        <w:rPr/>
      </w:r>
    </w:p>
    <w:p>
      <w:pPr>
        <w:pStyle w:val="Normal"/>
        <w:ind w:hanging="355" w:start="1065" w:end="0"/>
        <w:rPr/>
      </w:pPr>
      <w:r>
        <w:rPr/>
        <w:t xml:space="preserve">(2) increased use of the forward markets to secure adequate supplies for demand which can then be scheduled in advance; and </w:t>
      </w:r>
    </w:p>
    <w:p>
      <w:pPr>
        <w:pStyle w:val="Normal"/>
        <w:ind w:hanging="355" w:start="1065" w:end="0"/>
        <w:rPr/>
      </w:pPr>
      <w:r>
        <w:rPr/>
      </w:r>
    </w:p>
    <w:p>
      <w:pPr>
        <w:pStyle w:val="Normal"/>
        <w:ind w:hanging="355" w:start="1065" w:end="0"/>
        <w:rPr/>
      </w:pPr>
      <w:r>
        <w:rPr/>
        <w:t xml:space="preserve">(3) the development of a meaningful and robust retail marketplace with price-responsive demand opportunities.   </w:t>
      </w:r>
    </w:p>
    <w:p>
      <w:pPr>
        <w:pStyle w:val="Normal"/>
        <w:ind w:hanging="355" w:start="1065" w:end="0"/>
        <w:rPr/>
      </w:pPr>
      <w:r>
        <w:rPr/>
      </w:r>
    </w:p>
    <w:p>
      <w:pPr>
        <w:pStyle w:val="Normal"/>
        <w:spacing w:lineRule="auto" w:line="480"/>
        <w:rPr/>
      </w:pPr>
      <w:r>
        <w:rPr/>
        <w:t xml:space="preserve">The decision to take decisive steps in these areas can clearly assist in improving market efficiencies and prices faced by consumers.  More importantly, swift and decisive steps in these areas will go a long way toward reducing the risks associated with today’s environment of elevated regulatory uncertainty.  A number of the improvements identified in the November Order will require extensive efforts, time and resources, which cannot be underestimated.  </w:t>
      </w:r>
      <w:r>
        <w:rPr>
          <w:b/>
          <w:bCs/>
          <w:i/>
          <w:iCs/>
        </w:rPr>
        <w:t>Time is of the essence</w:t>
      </w:r>
      <w:r>
        <w:rPr/>
        <w:t>, and any delays, distractions or impediments to improving the efficient operation of markets will drive away needed infrastructure investments, continue the state of regional supply insufficiency, drive prices higher, and frustrate the restructuring efforts to the detriment of California and the entire Western Region.</w:t>
      </w:r>
      <w:r>
        <w:br w:type="page"/>
      </w:r>
    </w:p>
    <w:p>
      <w:pPr>
        <w:pStyle w:val="Heading2"/>
        <w:keepNext w:val="true"/>
        <w:keepLines/>
        <w:ind w:hanging="0" w:start="0"/>
        <w:rPr/>
      </w:pPr>
      <w:bookmarkStart w:id="4" w:name="__RefHeading___Toc499529810"/>
      <w:bookmarkEnd w:id="4"/>
      <w:r>
        <w:rPr/>
        <w:t>Construction of Generation and Transmission is Critical</w:t>
      </w:r>
    </w:p>
    <w:p>
      <w:pPr>
        <w:pStyle w:val="Normal"/>
        <w:rPr/>
      </w:pPr>
      <w:r>
        <w:rPr/>
      </w:r>
    </w:p>
    <w:p>
      <w:pPr>
        <w:pStyle w:val="BodyTextIndent"/>
        <w:rPr/>
      </w:pPr>
      <w:r>
        <w:rPr/>
        <w:t>As noted in the Staff Report—which supports earlier testimony and reports from CAISO and CalPX—the fundamental issue driving higher prices in California and throughout the West is the current Supply/Demand imbalance.</w:t>
      </w:r>
      <w:r>
        <w:rPr>
          <w:rStyle w:val="FootnoteCharacters"/>
          <w:rStyle w:val="FootnoteReference"/>
        </w:rPr>
        <w:footnoteReference w:id="3"/>
      </w:r>
      <w:r>
        <w:rPr/>
        <w:t xml:space="preserve">  New supply and improved transfer transmission capabilities are </w:t>
      </w:r>
      <w:r>
        <w:rPr>
          <w:i/>
          <w:iCs/>
        </w:rPr>
        <w:t>absolutely required</w:t>
      </w:r>
      <w:r>
        <w:rPr/>
        <w:t xml:space="preserve"> to improve the market dynamics throughout the West and particularly in California.  The explosion of economic activity and increased populations in the West, coupled with the unforecastable impact of weather, has increased the likelihood that demand will go unserved in the future without some major capital projects.  Unless there are definite steps taken now to create a climate of regulatory certainty California appears poised to have a serious supply constraint and potential shortfall.</w:t>
      </w:r>
      <w:r>
        <w:rPr>
          <w:rStyle w:val="FootnoteCharacters"/>
          <w:rStyle w:val="FootnoteReference"/>
        </w:rPr>
        <w:footnoteReference w:id="4"/>
      </w:r>
      <w:r>
        <w:rPr/>
        <w:t xml:space="preserve">  </w:t>
      </w:r>
    </w:p>
    <w:p>
      <w:pPr>
        <w:pStyle w:val="BodyTextIndent"/>
        <w:rPr/>
      </w:pPr>
      <w:r>
        <w:rPr/>
        <w:t>Notwithstanding statements to the contrary, private, non-utility entities have responded aggressively to the supply shortage.</w:t>
      </w:r>
      <w:r>
        <w:rPr>
          <w:rStyle w:val="FootnoteCharacters"/>
          <w:rStyle w:val="FootnoteReference"/>
        </w:rPr>
        <w:footnoteReference w:id="5"/>
      </w:r>
      <w:r>
        <w:rPr/>
        <w:t xml:space="preserve">  Tremendous efforts are underway to permit and build new generation resources as quickly as possible.</w:t>
      </w:r>
      <w:r>
        <w:rPr>
          <w:rStyle w:val="FootnoteCharacters"/>
          <w:rStyle w:val="FootnoteReference"/>
        </w:rPr>
        <w:footnoteReference w:id="6"/>
      </w:r>
      <w:r>
        <w:rPr/>
        <w:t xml:space="preserve">  Private companies are ready to invest billions of dollars in plant modernizations and new projects to meet the growing demand in California and elsewhere.</w:t>
      </w:r>
      <w:r>
        <w:rPr>
          <w:rStyle w:val="FootnoteCharacters"/>
          <w:rStyle w:val="FootnoteReference"/>
        </w:rPr>
        <w:footnoteReference w:id="7"/>
      </w:r>
      <w:r>
        <w:rPr/>
        <w:t xml:space="preserve">  But absent major changes to the regulatory environment—much of which rests with the State—it appears unlikely that sufficient resources will be in place seven months from now to meet this demand.  Concerted efforts must occur regarding wholesale and retail market operations as well as the permitting processes for new supplies. </w:t>
      </w:r>
      <w:r>
        <w:rPr>
          <w:i/>
          <w:iCs/>
        </w:rPr>
        <w:t xml:space="preserve"> Steps must be taken now to improve the markets so those investments will happen.  Otherwise, investors will build facilities where the markets are more attractive and where power supplies are also thin.</w:t>
      </w:r>
      <w:r>
        <w:rPr/>
        <w:t xml:space="preserve">  </w:t>
      </w:r>
    </w:p>
    <w:p>
      <w:pPr>
        <w:pStyle w:val="Heading2"/>
        <w:keepNext w:val="true"/>
        <w:keepLines/>
        <w:ind w:hanging="0" w:start="0"/>
        <w:rPr/>
      </w:pPr>
      <w:bookmarkStart w:id="5" w:name="__RefHeading___Toc499529811"/>
      <w:bookmarkEnd w:id="5"/>
      <w:r>
        <w:rPr/>
        <w:t>Increased Use of Forward Markets</w:t>
      </w:r>
    </w:p>
    <w:p>
      <w:pPr>
        <w:pStyle w:val="Normal"/>
        <w:rPr/>
      </w:pPr>
      <w:r>
        <w:rPr/>
      </w:r>
    </w:p>
    <w:p>
      <w:pPr>
        <w:pStyle w:val="BodyTextIndent"/>
        <w:rPr/>
      </w:pPr>
      <w:r>
        <w:rPr/>
        <w:t>As noted in the Staff Report, a combination of factors has led to the unreasonable reliance on the ISO’s real time market, ultimately threatening system reliability in and beyond California.  The November Order’s elimination of the “mandatory buy/sell” requirement, in conjunction with prompt development by the California Commission of reasonable standards for utility purchases, will clearly help rectify the operational and commercial problems associated with serving loads “just in time,” as occurred last summer.  Allowing load serving entities the flexibility and discretion to secure supplies as they see fit will allow for the forward scheduling of power and the reduced reliance on the CAISO imbalance market.  Such resources could be those they already own, new bilateral supply arrangements of varying durations, or other contractual or physical arrangements.  By calling out the need for rational purchasing authority for the load-serving entities we think that FERC identified the most promising area where significant advances in market stability can be made relatively easily.   Others agree with this assessment.</w:t>
      </w:r>
      <w:r>
        <w:rPr>
          <w:rStyle w:val="FootnoteCharacters"/>
          <w:rStyle w:val="FootnoteReference"/>
        </w:rPr>
        <w:footnoteReference w:id="8"/>
      </w:r>
      <w:r>
        <w:rPr/>
        <w:t xml:space="preserve">  While some changes have been made at the State-level, additional expansion of the utility purchasing options in conjunction with regulatory certainty as to how those purchases will be reviewed are critical and will be a significant step toward better market efficiencies.</w:t>
      </w:r>
      <w:r>
        <w:rPr>
          <w:rStyle w:val="FootnoteCharacters"/>
          <w:rStyle w:val="FootnoteReference"/>
        </w:rPr>
        <w:footnoteReference w:id="9"/>
      </w:r>
      <w:r>
        <w:rPr/>
        <w:t xml:space="preserve">  </w:t>
      </w:r>
    </w:p>
    <w:p>
      <w:pPr>
        <w:pStyle w:val="BodyTextIndent"/>
        <w:rPr/>
      </w:pPr>
      <w:r>
        <w:rPr/>
        <w:t xml:space="preserve">The Commission’s goal that 95% or more of demand materializing on any given day be “prescheduled” may be realized simply with the elimination of the mandatory buy/sell requirement and the greater use of the forward markets that such change should engender.  IEP is concerned, however, that calls by some to impose on individual generators a specific prescheduling requirement, with associated penalties for deviations, is entirely misplaced and nonsensical.  California’s market structure utilizes Scheduling Coordinators (“SCs”) to interface with the CAISO.  SCs are required to present to CAISO “balanced schedules” comprised of </w:t>
      </w:r>
      <w:r>
        <w:rPr>
          <w:i/>
          <w:iCs/>
        </w:rPr>
        <w:t>both</w:t>
      </w:r>
      <w:r>
        <w:rPr/>
        <w:t xml:space="preserve"> load and generation.  These balanced schedules can come as a mixture of forecast end-user consumption, inter-SC traded demand, generation imports or exports, as well as generation resources under contract or owned by the SC.  </w:t>
      </w:r>
      <w:r>
        <w:rPr>
          <w:i/>
          <w:iCs/>
        </w:rPr>
        <w:t xml:space="preserve">The total generation that is ultimately required and scheduled with the system is driven by the consumption and exports that materializes at any point in time. </w:t>
      </w:r>
      <w:r>
        <w:rPr/>
        <w:t xml:space="preserve"> It is not the case that demand materializes in response to the presence of available generation.  Suggestions that 95% of a participants’ generation capacity should be prescheduled at all times makes no sense and could lead to massive reliability problems such as “overgeneration” conditions during the non-peak periods.  It also appears to assume away the need for flexibility when planning extended maintenance outages for aged generators.  </w:t>
      </w:r>
    </w:p>
    <w:p>
      <w:pPr>
        <w:pStyle w:val="BodyTextIndent"/>
        <w:rPr/>
      </w:pPr>
      <w:r>
        <w:rPr/>
        <w:t>Accordingly, under the present system—and presumably under the FERC’s 95% prescheduling proposal—the CAISO assesses any imbalance adjustments and related penalties to the SC if its actual loads and generation, as reflected from meter data, deviates from the balanced schedule.</w:t>
      </w:r>
      <w:r>
        <w:rPr>
          <w:rStyle w:val="FootnoteCharacters"/>
          <w:rStyle w:val="FootnoteReference"/>
        </w:rPr>
        <w:footnoteReference w:id="10"/>
      </w:r>
      <w:r>
        <w:rPr/>
        <w:t xml:space="preserve">  With the removal of the mandatory buy/sell requirement, load serving entities could undertake their own scheduling and therefore could negotiate responsibility for deviations pursuant to their bilateral forward arrangements.</w:t>
      </w:r>
      <w:r>
        <w:rPr>
          <w:rStyle w:val="FootnoteCharacters"/>
          <w:rStyle w:val="FootnoteReference"/>
        </w:rPr>
        <w:footnoteReference w:id="11"/>
      </w:r>
      <w:r>
        <w:rPr/>
        <w:t xml:space="preserve">  Therefore, even presuming a need for additional “incentives” to accurately schedule, it is not necessary to “reach beyond” the SCs to the individual loads and generation resources listed on their balanced schedules.  </w:t>
      </w:r>
    </w:p>
    <w:p>
      <w:pPr>
        <w:pStyle w:val="BodyTextIndent"/>
        <w:rPr/>
      </w:pPr>
      <w:r>
        <w:rPr/>
        <w:t xml:space="preserve">IEP must also point out that certain generation technologies, such as wind generation, rely upon intermittent resources that are not easily forecastable.  FERC and the CAISO should avoid creating standards which, in essence, presume all generation resources have the same operational characteristics as gas units.  Imposition of prescheduling penalties on intermittent renewable resources appears discriminatory and will create a difficult scheduling issue for those resources.  Such requirements and penalties could present significant new transaction costs and other regulatory problems or barriers for future project development, contrary to state and federal policies which favor energy production from these sources.  For these reasons, if the Commission concludes that a prescheduling target and associated penalties are the appropriate tools to move volumes out of the CAISO imbalance markets, we urge the Commission to limit any penalties to the Scheduling Coordinators as currently proposed rather than expanding its application to individual loads or generation resources.  </w:t>
      </w:r>
    </w:p>
    <w:p>
      <w:pPr>
        <w:pStyle w:val="Heading2"/>
        <w:ind w:hanging="0" w:start="0"/>
        <w:rPr/>
      </w:pPr>
      <w:bookmarkStart w:id="6" w:name="__RefHeading___Toc499529812"/>
      <w:bookmarkEnd w:id="6"/>
      <w:r>
        <w:rPr/>
        <w:t>Robust Retail Market and Demand Response</w:t>
      </w:r>
    </w:p>
    <w:p>
      <w:pPr>
        <w:pStyle w:val="Normal"/>
        <w:rPr/>
      </w:pPr>
      <w:r>
        <w:rPr/>
      </w:r>
    </w:p>
    <w:p>
      <w:pPr>
        <w:pStyle w:val="Normal"/>
        <w:spacing w:lineRule="auto" w:line="480"/>
        <w:ind w:firstLine="710" w:end="0"/>
        <w:rPr/>
      </w:pPr>
      <w:r>
        <w:rPr/>
        <w:t>IEP agrees with the Staff Report and many other parties that a significant portion of California’s problems are the result of the initial restructuring design as well as problems associated with a dysfunctional competitive retail market design.  The current retail market and rate design has hindered private investments in energy efficient technologies and conservation measures, as well as innovation that will result from retail service providers in competition with the default service provider and one another.  The retail market, which is within the State’s jurisdiction, is inextricably linked to the wholesale markets.  Retail markets are where wholesale market risk and price fluctuations can be managed, where commodity service options can be developed and provided to customers, and where demand responsiveness can be fostered.  The types of changes at the retail level identified by the Commission, including the creation of market-based demand response options, are critical to improving the functioning of the wholesale markets.</w:t>
      </w:r>
    </w:p>
    <w:p>
      <w:pPr>
        <w:pStyle w:val="Heading1"/>
        <w:ind w:hanging="0" w:start="0"/>
        <w:rPr/>
      </w:pPr>
      <w:r>
        <w:rPr>
          <w:u w:val="none"/>
        </w:rPr>
        <w:t xml:space="preserve"> </w:t>
      </w:r>
      <w:r>
        <w:rPr>
          <w:u w:val="none"/>
        </w:rPr>
        <w:tab/>
      </w:r>
      <w:bookmarkStart w:id="7" w:name="__RefHeading___Toc499529813"/>
      <w:r>
        <w:rPr/>
        <w:t>Recognizing of the Underlying Problems</w:t>
      </w:r>
      <w:bookmarkEnd w:id="7"/>
    </w:p>
    <w:p>
      <w:pPr>
        <w:pStyle w:val="Normal"/>
        <w:spacing w:lineRule="auto" w:line="480"/>
        <w:ind w:firstLine="710" w:end="0"/>
        <w:rPr/>
      </w:pPr>
      <w:r>
        <w:rPr/>
        <w:t xml:space="preserve">Developing real solutions and selecting a path that will improve California’s circumstances requires a recognition of the problems we have today, as well as the roles of the primary market participants.  IEP believes that the Staff Report, as well as the DMA Report, MSC Report and CalPX CU Report, have identified the primary problem areas as described below. </w:t>
      </w:r>
    </w:p>
    <w:p>
      <w:pPr>
        <w:pStyle w:val="Heading2"/>
        <w:ind w:hanging="0" w:start="0"/>
        <w:rPr/>
      </w:pPr>
      <w:bookmarkStart w:id="8" w:name="__RefHeading___Toc499529814"/>
      <w:r>
        <w:rPr/>
        <w:t>“</w:t>
      </w:r>
      <w:r>
        <w:rPr/>
        <w:t>Responsibility” for the Current Supply-Demand Imbalance</w:t>
      </w:r>
      <w:bookmarkEnd w:id="8"/>
      <w:r>
        <w:rPr/>
        <w:t xml:space="preserve"> </w:t>
      </w:r>
    </w:p>
    <w:p>
      <w:pPr>
        <w:pStyle w:val="Normal"/>
        <w:ind w:start="710" w:end="0"/>
        <w:rPr/>
      </w:pPr>
      <w:r>
        <w:rPr/>
      </w:r>
    </w:p>
    <w:p>
      <w:pPr>
        <w:pStyle w:val="Normal"/>
        <w:spacing w:lineRule="auto" w:line="480"/>
        <w:rPr/>
      </w:pPr>
      <w:r>
        <w:rPr/>
        <w:tab/>
        <w:t>Tight electricity supplies throughout the West in conjunction with fuel and environmental compliance costs are driving high prices.  California’s supply imbalance is particularly problematic because the availability of imported power is uncertain and diminishing due to regional load growth and variations in annual hydro production.  California’s aged supply fleet takes more to run in terms of fuel, pollution control costs, as well as maintenance costs.  Some of the capacity in state has been “retired” because it was not perceived to be economic in a competitive environment, and could only operate for a very limited number of hours because of its location and associated environmental permitting issues.</w:t>
      </w:r>
      <w:r>
        <w:rPr>
          <w:rStyle w:val="FootnoteCharacters"/>
          <w:rStyle w:val="FootnoteReference"/>
        </w:rPr>
        <w:footnoteReference w:id="12"/>
      </w:r>
      <w:r>
        <w:rPr/>
        <w:t xml:space="preserve">  The aged supply fleet needs significant capital improvements, which in turn can require extended outage periods.</w:t>
      </w:r>
      <w:r>
        <w:rPr>
          <w:rStyle w:val="FootnoteCharacters"/>
          <w:rStyle w:val="FootnoteReference"/>
        </w:rPr>
        <w:footnoteReference w:id="13"/>
      </w:r>
      <w:r>
        <w:rPr/>
        <w:t xml:space="preserve">   At the same time, the economic boom seen in California as well as the population growth and expansion of housing into less temperate climates, has increased demand to levels that far outstrip in-state supplies.</w:t>
      </w:r>
      <w:r>
        <w:rPr>
          <w:rStyle w:val="FootnoteCharacters"/>
          <w:rStyle w:val="FootnoteReference"/>
        </w:rPr>
        <w:footnoteReference w:id="14"/>
      </w:r>
      <w:r>
        <w:rPr/>
        <w:t xml:space="preserve">  </w:t>
      </w:r>
    </w:p>
    <w:p>
      <w:pPr>
        <w:pStyle w:val="Normal"/>
        <w:spacing w:lineRule="auto" w:line="480"/>
        <w:rPr/>
      </w:pPr>
      <w:r>
        <w:rPr/>
        <w:tab/>
        <w:t>Perhaps the single biggest cause of the current shortfall is California’s failure to add needed supply over the past dozen years.  Beginning in 1989, SCE and SDG&amp;E successfully opposed a multi-year process that would have delivered approximately 1,200 MW of diversified new supply.</w:t>
      </w:r>
      <w:r>
        <w:rPr>
          <w:rStyle w:val="FootnoteCharacters"/>
          <w:rStyle w:val="FootnoteReference"/>
        </w:rPr>
        <w:footnoteReference w:id="15"/>
      </w:r>
      <w:r>
        <w:rPr/>
        <w:t xml:space="preserve">  They argued that the current supplies would be sufficient and that the new resources would contribute to an over-supply problem.</w:t>
      </w:r>
      <w:r>
        <w:rPr>
          <w:rStyle w:val="FootnoteCharacters"/>
          <w:rStyle w:val="FootnoteReference"/>
        </w:rPr>
        <w:footnoteReference w:id="16"/>
      </w:r>
      <w:r>
        <w:rPr/>
        <w:t xml:space="preserve">  At the same time, California’s utilities, facing the likelihood of industry restructuring and concerned about “stranded” generation costs and their voluntary plant divestitures, did not add supplies of their own.  Notwithstanding supply needs, neither the restructuring legislation nor the CPUC established a “stop gap” approach to substitute for the new resources scuttled in 1994.  An economic downturn temporarily took the pressure off California, but absolutely nothing was done by the utilities or the State to avoid the looming supply shortfall.  Instead, policy makers assumed that a well designed and properly functioning generation marketplace, with open access to the transmission and distribution systems, would yield price signals sufficient to attract new supply investments in a timely manner.  </w:t>
      </w:r>
      <w:r>
        <w:rPr>
          <w:i/>
          <w:iCs/>
        </w:rPr>
        <w:t>Hence, uncertainty has reigned over the provision of supplies in California since at least 1989.</w:t>
      </w:r>
      <w:r>
        <w:rPr/>
        <w:t xml:space="preserve">  Unquestionably private developers have stepped forward since 1998 in response to California’s restructuring as evidenced by the various applications and projects in the planning stages.</w:t>
      </w:r>
      <w:r>
        <w:rPr>
          <w:rStyle w:val="FootnoteCharacters"/>
          <w:rStyle w:val="FootnoteReference"/>
        </w:rPr>
        <w:footnoteReference w:id="17"/>
      </w:r>
      <w:r>
        <w:rPr/>
        <w:t xml:space="preserve">  However, it would be extremely shortsighted to assume—as apparently some parties appearing before the Commission have—that every </w:t>
      </w:r>
      <w:r>
        <w:rPr>
          <w:i/>
          <w:iCs/>
        </w:rPr>
        <w:t>planned</w:t>
      </w:r>
      <w:r>
        <w:rPr/>
        <w:t xml:space="preserve"> project will become an </w:t>
      </w:r>
      <w:r>
        <w:rPr>
          <w:i/>
          <w:iCs/>
        </w:rPr>
        <w:t>operational</w:t>
      </w:r>
      <w:r>
        <w:rPr/>
        <w:t xml:space="preserve"> project, particularly if the regulatory uncertainty that exists today continues or escalates.</w:t>
      </w:r>
      <w:r>
        <w:rPr>
          <w:rStyle w:val="FootnoteCharacters"/>
          <w:rStyle w:val="FootnoteReference"/>
        </w:rPr>
        <w:footnoteReference w:id="18"/>
      </w:r>
      <w:r>
        <w:rPr/>
        <w:t xml:space="preserve">  It is similarly unreasonable to assume that these projects can somehow come into existence at a moment’s notice.</w:t>
      </w:r>
      <w:r>
        <w:rPr>
          <w:rStyle w:val="FootnoteCharacters"/>
          <w:rStyle w:val="FootnoteReference"/>
        </w:rPr>
        <w:footnoteReference w:id="19"/>
      </w:r>
      <w:r>
        <w:rPr/>
        <w:t xml:space="preserve">  It also defies reality to assume that wholesale and retail prices will remain stable or decline in light of conditions that ensure a supply deficiency.  </w:t>
      </w:r>
    </w:p>
    <w:p>
      <w:pPr>
        <w:pStyle w:val="Normal"/>
        <w:spacing w:lineRule="auto" w:line="480"/>
        <w:ind w:firstLine="720" w:end="0"/>
        <w:rPr/>
      </w:pPr>
      <w:r>
        <w:rPr/>
        <w:t xml:space="preserve">The point is that </w:t>
      </w:r>
      <w:r>
        <w:rPr>
          <w:b/>
          <w:bCs/>
        </w:rPr>
        <w:t>today’s</w:t>
      </w:r>
      <w:r>
        <w:rPr/>
        <w:t xml:space="preserve"> supply shortfall is a function of past regulatory decisions, not today’s market.  If California wants to attract new power plant investments, then California must provide the regulatory certainty needed to assure investors an opportunity to recover their costs from the market, including all fixed costs and a return on investment, without the unmanageable risks that constant market tinkering presents.  Today’s gyrating regulatory environment provides no such assurances and continues the instability that has existed over the last dozen years.</w:t>
      </w:r>
    </w:p>
    <w:p>
      <w:pPr>
        <w:pStyle w:val="Heading2"/>
        <w:ind w:hanging="0" w:start="0"/>
        <w:rPr/>
      </w:pPr>
      <w:bookmarkStart w:id="9" w:name="__RefHeading___Toc499529815"/>
      <w:bookmarkEnd w:id="9"/>
      <w:r>
        <w:rPr/>
        <w:t>Over-Reliance On Spot Market And On Imports Proved To Be A Poor Market Design</w:t>
      </w:r>
    </w:p>
    <w:p>
      <w:pPr>
        <w:pStyle w:val="Normal"/>
        <w:rPr/>
      </w:pPr>
      <w:r>
        <w:rPr/>
      </w:r>
    </w:p>
    <w:p>
      <w:pPr>
        <w:pStyle w:val="Normal"/>
        <w:spacing w:lineRule="auto" w:line="480"/>
        <w:ind w:firstLine="720" w:end="0"/>
        <w:rPr/>
      </w:pPr>
      <w:r>
        <w:rPr/>
        <w:t xml:space="preserve">The initial market design developed by the CPUC (and essentially ratified with modification by the State Legislature in AB 1890) rests on the so-called “mandatory buy/sell” requirement, including the mechanics for “residual” determination of the “competitive transition cost” (“CTC”) revenues and the determination of utility “stranded” generation costs.  The buy/sell requirement, in conjunction with a </w:t>
      </w:r>
      <w:r>
        <w:rPr>
          <w:i/>
          <w:iCs/>
        </w:rPr>
        <w:t>voluntary call for divestiture</w:t>
      </w:r>
      <w:r>
        <w:rPr/>
        <w:t xml:space="preserve"> of utility fossil generation, was aimed at ensuring that the incumbent utility companies would be less capable of exerting market power on the wholesale supply or retail demand sides.</w:t>
      </w:r>
      <w:r>
        <w:rPr>
          <w:rStyle w:val="FootnoteCharacters"/>
          <w:rStyle w:val="FootnoteReference"/>
        </w:rPr>
        <w:footnoteReference w:id="20"/>
      </w:r>
      <w:r>
        <w:rPr/>
        <w:t xml:space="preserve">  It was also developed to provide for a transparent and defendable mechanism for pricing power which would assure consumers that the prices were determined within a competitive and open exchange platform.  </w:t>
      </w:r>
    </w:p>
    <w:p>
      <w:pPr>
        <w:pStyle w:val="Normal"/>
        <w:spacing w:lineRule="auto" w:line="480"/>
        <w:ind w:firstLine="720" w:end="0"/>
        <w:rPr/>
      </w:pPr>
      <w:r>
        <w:rPr/>
        <w:t xml:space="preserve">Unfortunately, in light of the evaporation of any supply surpluses that came with the revitalized economy, the mandatory buy/sell requirement has severely hampered the efficient operation of the markets because it precluded the largest participants in the marketplace the ability to established longer term market positions.  In particular the buy/sell requirement undermined the largest load serving entities’ abilities to provide for their loads outside of the daily exchanges through a portfolio of arrangements including negotiated, longer-term bilateral forwards.   Because the costs of utility purchases from the CalPX markets are deemed “reasonable, </w:t>
      </w:r>
      <w:r>
        <w:rPr>
          <w:i/>
          <w:iCs/>
        </w:rPr>
        <w:t>per se</w:t>
      </w:r>
      <w:r>
        <w:rPr/>
        <w:t xml:space="preserve">” and are passed through to retail ratepayers (to the extent they are less than the frozen retail generation rate) there can be significant retail rate volatility.  </w:t>
      </w:r>
    </w:p>
    <w:p>
      <w:pPr>
        <w:pStyle w:val="Normal"/>
        <w:spacing w:lineRule="auto" w:line="480"/>
        <w:ind w:firstLine="720" w:end="0"/>
        <w:rPr/>
      </w:pPr>
      <w:r>
        <w:rPr/>
        <w:t>The November Order’s decision to remove the impediment that the mandatory buy/sell requirement imposes is a particularly important and easily implementable step toward improving market function.</w:t>
      </w:r>
      <w:r>
        <w:rPr>
          <w:rStyle w:val="FootnoteCharacters"/>
          <w:rStyle w:val="FootnoteReference"/>
        </w:rPr>
        <w:footnoteReference w:id="21"/>
      </w:r>
      <w:r>
        <w:rPr/>
        <w:t xml:space="preserve">  IEP wholeheartedly supports this element of the November Order.  It will allow the utilities to apply the resources under their control—be it retained generation facilities or rights under contract—against their demand and its elimination will allow them to participate in the markets to secure other supplies on a forward basis for their net demand.  Unfortunately, this increased flexibility encouraged by the Commission could itself become hampered unless and until the California Commission establishes a clearly articulated set of standards applicable for any reasonableness reviews of utility purchases.</w:t>
      </w:r>
      <w:r>
        <w:rPr>
          <w:rStyle w:val="FootnoteCharacters"/>
          <w:rStyle w:val="FootnoteReference"/>
        </w:rPr>
        <w:footnoteReference w:id="22"/>
      </w:r>
      <w:r>
        <w:rPr/>
        <w:t xml:space="preserve">  The utilities have made clear that the current set of “interim” standards deter them from entering these arrangements.</w:t>
      </w:r>
      <w:r>
        <w:rPr>
          <w:rStyle w:val="FootnoteCharacters"/>
          <w:rStyle w:val="FootnoteReference"/>
        </w:rPr>
        <w:footnoteReference w:id="23"/>
      </w:r>
      <w:r>
        <w:rPr/>
        <w:t xml:space="preserve">  Moreover, regulatory stability must exist—particularly in the areas of any wholesale price capping mechanism or potential for subsequent or retroactive refunds—if the forward markets are to develop into viable and stable options for both buyers and sellers.</w:t>
      </w:r>
      <w:r>
        <w:rPr>
          <w:rStyle w:val="FootnoteCharacters"/>
          <w:rStyle w:val="FootnoteReference"/>
        </w:rPr>
        <w:footnoteReference w:id="24"/>
      </w:r>
      <w:r>
        <w:rPr/>
        <w:t xml:space="preserve">  Regulatory uncertainty, in the context of wholesale price capping mechanisms and the continual tinkering with other market elements, dries up the forward markets and makes them unattractive to buyers or sellers.</w:t>
      </w:r>
    </w:p>
    <w:p>
      <w:pPr>
        <w:pStyle w:val="BodyTextIndent"/>
        <w:rPr/>
      </w:pPr>
      <w:r>
        <w:rPr/>
        <w:t xml:space="preserve">As the Commission is also aware from the Staff Report and other sources, continuation of California’s historic reliance on imported power in the coming years will be questionable at best.  Imports, which are often subject to the vagaries of hydro conditions, are drying up with load growth in the Pacific Northwest and the Southwest.  Evidence presented has shown that during periods of regional market scarcity California exports power to other regions.  Put simply, to unreasonably rely upon imports or hydro availability is not good policy; yet that appears to be the direction California is headed without needed investments in new generation capacity and enhanced instate transmission infrastructure.  </w:t>
      </w:r>
    </w:p>
    <w:p>
      <w:pPr>
        <w:pStyle w:val="Heading2"/>
        <w:ind w:hanging="355" w:start="1420" w:end="0"/>
        <w:rPr/>
      </w:pPr>
      <w:r>
        <w:rPr>
          <w:u w:val="none"/>
        </w:rPr>
        <w:t xml:space="preserve"> </w:t>
      </w:r>
      <w:bookmarkStart w:id="10" w:name="__RefHeading___Toc499529816"/>
      <w:r>
        <w:rPr/>
        <w:t>The Initial “Transition” Policies And Current Market Conditions Resulted In Unfavorable Circumstances For The Ultimate Consumers</w:t>
      </w:r>
      <w:bookmarkEnd w:id="10"/>
    </w:p>
    <w:p>
      <w:pPr>
        <w:pStyle w:val="Normal"/>
        <w:rPr/>
      </w:pPr>
      <w:r>
        <w:rPr/>
      </w:r>
    </w:p>
    <w:p>
      <w:pPr>
        <w:pStyle w:val="BodyTextIndent"/>
        <w:rPr/>
      </w:pPr>
      <w:r>
        <w:rPr/>
        <w:t>California’s initial restructuring proposal envisioned a five year “transition period” during which the monopoly supply structure would move to a competitive, market-based supply system.</w:t>
      </w:r>
      <w:r>
        <w:rPr>
          <w:rStyle w:val="FootnoteCharacters"/>
          <w:rStyle w:val="FootnoteReference"/>
        </w:rPr>
        <w:footnoteReference w:id="25"/>
      </w:r>
      <w:r>
        <w:rPr/>
        <w:t xml:space="preserve">  During that transition process—which projected surplus supplies in the Western Region—retail rates were frozen</w:t>
      </w:r>
      <w:r>
        <w:rPr>
          <w:rStyle w:val="FootnoteCharacters"/>
          <w:rStyle w:val="FootnoteReference"/>
        </w:rPr>
        <w:footnoteReference w:id="26"/>
      </w:r>
      <w:r>
        <w:rPr/>
        <w:t>, and the difference between a hybrid blend of market prices associated with supplies procured and the portion of retail rates attributed to “generation” would, under certain conditions, pay down utility stranded costs.</w:t>
      </w:r>
      <w:r>
        <w:rPr>
          <w:rStyle w:val="FootnoteCharacters"/>
          <w:rStyle w:val="FootnoteReference"/>
        </w:rPr>
        <w:footnoteReference w:id="27"/>
      </w:r>
      <w:r>
        <w:rPr/>
        <w:t xml:space="preserve">  Customer and utility interests were considered “aligned” because the utility’s interest in obtaining revenues for stranded costs required them to minimize their costs for supply.  However, the decision to freeze the retail rate—while helpful to the utility goal of achieving stranded cost recovery—frustrated efforts to develop robust retail competition as well as demand responsiveness.  Those other retail market goals (development of retail competition and market-responsive loads) would ultimately require some “thawing” of rates and an associated potential for retail price movement.  Furthermore, the presence of a capped price in the CAISO markets provided a backstop price for the utilities, virtually ensuring that when the market fundamentals increased wholesale prices in the CalPX markets massive volumes of utility demand would not secure supply in advance.  Hence there would be no advanced scheduling by the utilities.</w:t>
      </w:r>
      <w:r>
        <w:rPr>
          <w:rStyle w:val="FootnoteCharacters"/>
          <w:rStyle w:val="FootnoteReference"/>
        </w:rPr>
        <w:footnoteReference w:id="28"/>
      </w:r>
    </w:p>
    <w:p>
      <w:pPr>
        <w:pStyle w:val="BodyTextIndent"/>
        <w:rPr/>
      </w:pPr>
      <w:r>
        <w:rPr/>
        <w:t>This initial market structure was developed and put into place at the time when California’s economy came roaring back to life and load grew much greater than the utilities expected.</w:t>
      </w:r>
      <w:r>
        <w:rPr>
          <w:rStyle w:val="FootnoteCharacters"/>
          <w:rStyle w:val="FootnoteReference"/>
        </w:rPr>
        <w:footnoteReference w:id="29"/>
      </w:r>
      <w:r>
        <w:rPr/>
        <w:t xml:space="preserve">  The utilities’ “default” retail customers, many of whom have enjoyed rates frozen prior to the restructuring legislation, continued to be completely insulated from any wholesale pricing fluctuations.  As part of the legislatively brokered agreement, the utilities faced potential underrecovery of supply costs during the rate freeze period to the extent their customers’ loads exceeded the output from supply resources the utilities still controlled.</w:t>
      </w:r>
      <w:r>
        <w:rPr>
          <w:rStyle w:val="FootnoteCharacters"/>
          <w:rStyle w:val="FootnoteReference"/>
        </w:rPr>
        <w:footnoteReference w:id="30"/>
      </w:r>
      <w:r>
        <w:rPr/>
        <w:t xml:space="preserve">  </w:t>
      </w:r>
    </w:p>
    <w:p>
      <w:pPr>
        <w:pStyle w:val="BodyTextIndent"/>
        <w:rPr/>
      </w:pPr>
      <w:r>
        <w:rPr/>
        <w:t>After SDG&amp;E completed its stranded cost recovery in July 1999, its customers were temporarily protected until September 1999 under an elevated retail rate cap that was negotiated by the utility.</w:t>
      </w:r>
      <w:r>
        <w:rPr>
          <w:rStyle w:val="FootnoteCharacters"/>
          <w:rStyle w:val="FootnoteReference"/>
        </w:rPr>
        <w:footnoteReference w:id="31"/>
      </w:r>
      <w:r>
        <w:rPr/>
        <w:t xml:space="preserve">  Some retail customers who participated in the competitive “direct access” marketplace faced energy costs that were tied to changes in the market prices.  Other direct access customers who elected fixed rates or other competitive market options—particularly those located in the SDG&amp;E territory post rate-freeze—were able to avoid the high spot market prices.   But California’s real troubles began when the SDG&amp;E’s default retail customers were not adequately warned that the market fundamentals could create significant regional supply shortfalls and increased electric bills.  In this case those customers—with practically no choices for their retail supplies—were unknowingly exposed to the utility’s decision to rely solely upon the spot market.</w:t>
      </w:r>
      <w:r>
        <w:rPr>
          <w:rStyle w:val="FootnoteCharacters"/>
          <w:rStyle w:val="FootnoteReference"/>
        </w:rPr>
        <w:footnoteReference w:id="32"/>
      </w:r>
      <w:r>
        <w:rPr/>
        <w:t xml:space="preserve">  </w:t>
      </w:r>
    </w:p>
    <w:p>
      <w:pPr>
        <w:pStyle w:val="Normal"/>
        <w:spacing w:lineRule="auto" w:line="480"/>
        <w:ind w:firstLine="720" w:end="0"/>
        <w:rPr/>
      </w:pPr>
      <w:r>
        <w:rPr/>
        <w:t>IEP believes that the threats of a “revolution” or consumer revolt that now are in vogue with some quarters rest upon the extremely flawed notion that consumers must be directly and immediately exposed to variations in the wholesale market price.  There is no reason why retail consumers of any size or level of sophistication should be unwillingly and unknowingly subjected to volatile wholesale price swings.  The November Order’s call for the elimination of the mandatory buy/sell requirement, its efforts to increase forward scheduling and contracting, in conjunction with corrections to the retail market design, can provide load serving entities additional tools for securing adequate and diverse power supplies.  This should establish more stable retail rates and provide an environment for more effective retail competition.  Hopefully the State will follow suit and provide the load serving utilities the procurement guidelines they portend to need before they will secure supplies from other than the spot markets.</w:t>
      </w:r>
    </w:p>
    <w:p>
      <w:pPr>
        <w:pStyle w:val="Normal"/>
        <w:spacing w:lineRule="auto" w:line="480"/>
        <w:rPr/>
      </w:pPr>
      <w:r>
        <w:rPr/>
        <w:tab/>
        <w:t>One particularly troubling area leading to market instability—again solely within the domain of the State—is the failure to articulate what the role of the utility will be in the restructured markets.  The utilities have cited this as an area of regulatory uncertainty which has kept them from procuring power on a forward basis.  Lack of clarity on this issue has also lead to long-running disputes in CPUC proceedings regarding rate unbundling and metering and commodity rate credits.  Failure to take even the simple step of identifying how the “default provider” issue will be resolved at the California Commission has left a fundamental component of the restructured retail environment completely ill-defined.  The simple step of setting out a roadmap of when, where and how this issue will be addressed before the CPUC would help define the scope of the retail marketplace and provide some desperately needed direction to consumers and potential utility competitors.</w:t>
      </w:r>
    </w:p>
    <w:p>
      <w:pPr>
        <w:pStyle w:val="Heading1"/>
        <w:ind w:hanging="0" w:start="0"/>
        <w:rPr/>
      </w:pPr>
      <w:r>
        <w:rPr>
          <w:u w:val="none"/>
        </w:rPr>
        <w:t xml:space="preserve"> </w:t>
      </w:r>
      <w:r>
        <w:rPr>
          <w:u w:val="none"/>
        </w:rPr>
        <w:tab/>
      </w:r>
      <w:bookmarkStart w:id="11" w:name="__RefHeading___Toc499529817"/>
      <w:r>
        <w:rPr/>
        <w:t>What FERC Can Do</w:t>
      </w:r>
      <w:bookmarkEnd w:id="11"/>
    </w:p>
    <w:p>
      <w:pPr>
        <w:pStyle w:val="Normal"/>
        <w:spacing w:lineRule="auto" w:line="480"/>
        <w:ind w:firstLine="710" w:end="0"/>
        <w:rPr/>
      </w:pPr>
      <w:r>
        <w:rPr/>
        <w:t xml:space="preserve">IEP believes the FERC can make the greatest strides in assisting California by providing a framework that increases regulatory certainty and improves the atmosphere for needed investment in new wholesale supplies.  </w:t>
      </w:r>
    </w:p>
    <w:p>
      <w:pPr>
        <w:pStyle w:val="Heading2"/>
        <w:ind w:hanging="0" w:start="0"/>
        <w:rPr/>
      </w:pPr>
      <w:bookmarkStart w:id="12" w:name="__RefHeading___Toc499529818"/>
      <w:bookmarkEnd w:id="12"/>
      <w:r>
        <w:rPr/>
        <w:t>Create Market Stability and Enhance Regulatory Certainty</w:t>
      </w:r>
    </w:p>
    <w:p>
      <w:pPr>
        <w:pStyle w:val="Normal"/>
        <w:rPr/>
      </w:pPr>
      <w:r>
        <w:rPr/>
      </w:r>
    </w:p>
    <w:p>
      <w:pPr>
        <w:pStyle w:val="Normal"/>
        <w:spacing w:lineRule="auto" w:line="480"/>
        <w:ind w:firstLine="710" w:end="0"/>
        <w:rPr/>
      </w:pPr>
      <w:r>
        <w:rPr/>
        <w:t xml:space="preserve">Regulatory stability is desperately needed.  California’s marketplace has been through a series of gyrations that have undermined the ability of participants to estimate market risks.  A much greater degree of regulatory certainty is absolutely necessary to attract the capital intensive investments so badly needed in California.  Greater stability is also required if market institutions are to develop and become sufficiently robust.  Firm, clear and unequivocal statements are needed from this Commission and other regulatory bodies to improve the regulatory environment.  Refusal to create a more stable environment, and rhetoric and actions that indicate greater or continued regulatory uncertainty, threatens to drive away the very resources needed to address the supply shortfall.  </w:t>
      </w:r>
    </w:p>
    <w:p>
      <w:pPr>
        <w:pStyle w:val="Heading2"/>
        <w:ind w:hanging="0" w:start="0"/>
        <w:rPr/>
      </w:pPr>
      <w:r>
        <w:rPr>
          <w:u w:val="none"/>
        </w:rPr>
        <w:tab/>
      </w:r>
      <w:bookmarkStart w:id="13" w:name="__RefHeading___Toc499529819"/>
      <w:r>
        <w:rPr/>
        <w:t>Develop Clearly Defined Standards of Review</w:t>
      </w:r>
      <w:bookmarkEnd w:id="13"/>
    </w:p>
    <w:p>
      <w:pPr>
        <w:pStyle w:val="Normal"/>
        <w:rPr/>
      </w:pPr>
      <w:r>
        <w:rPr/>
      </w:r>
    </w:p>
    <w:p>
      <w:pPr>
        <w:pStyle w:val="Normal"/>
        <w:spacing w:lineRule="auto" w:line="480"/>
        <w:ind w:firstLine="710" w:end="0"/>
        <w:rPr/>
      </w:pPr>
      <w:r>
        <w:rPr/>
        <w:t xml:space="preserve">FERC can assist the competitive market structure via the development of criteria/guidelines for the determination of “market power abuses.”  Doing so will provide the context of what constitutes “just and reasonable” rates, particularly for markets characterized by scarcity conditions.  The discussion in the November Order and the FERC Report contain ambiguities that are fueling calls for refunds that vastly exceed the Commission’s statutory authority.  Additional comments regarding the need for clear definitions and standards of review, as well as a properly bounded scope for  potential refunds are provided below.  Suffice it to say, ambiguity from the Commission in these areas will simply prolong the period of high regulatory uncertainty to the detriment of California.  </w:t>
      </w:r>
    </w:p>
    <w:p>
      <w:pPr>
        <w:pStyle w:val="Heading2"/>
        <w:ind w:hanging="0" w:start="0"/>
        <w:rPr/>
      </w:pPr>
      <w:r>
        <w:rPr>
          <w:u w:val="none"/>
        </w:rPr>
        <w:tab/>
      </w:r>
      <w:bookmarkStart w:id="14" w:name="__RefHeading___Toc499529820"/>
      <w:r>
        <w:rPr/>
        <w:t>Create and Ensure a Truly Independent CAISO Board</w:t>
      </w:r>
      <w:bookmarkEnd w:id="14"/>
    </w:p>
    <w:p>
      <w:pPr>
        <w:pStyle w:val="Normal"/>
        <w:rPr/>
      </w:pPr>
      <w:r>
        <w:rPr/>
      </w:r>
    </w:p>
    <w:p>
      <w:pPr>
        <w:pStyle w:val="BodyTextIndent"/>
        <w:rPr/>
      </w:pPr>
      <w:r>
        <w:rPr/>
        <w:t>The mandate to create truly Independent Boards for FERC jurisdictional transmission operators such as the ISO is another very important step taken in the November Order.  Virtually all parties agree.  This will help move the CAISO away from gridlock and politicization toward the type of organization that can anticipate and react quickly and reasonably to market developments.  IEP supports a mechanism whereby a consultant selected by CAISO management would develop a list of potential candidates from which the current CAISO board would select the new, smaller board consisting seven members, including the CAISO Chief Executive Officer.  Unfortunately, it appears that there are parties who may wish to maintain a politicized, CAISO board design.  While alternative approaches can be viable, the primary objective should be the creation of a technically knowledgeable and diverse board, free of overt politicization, that will be capable of directing the CAISO in the context of the larger Western Region.  In light of the events of this summer, eschewing overt politicization of the board is clearly the only means of ensuring a truly “independent” Independent System Operator.</w:t>
      </w:r>
    </w:p>
    <w:p>
      <w:pPr>
        <w:pStyle w:val="Heading2"/>
        <w:keepNext w:val="true"/>
        <w:keepLines/>
        <w:ind w:hanging="0" w:start="0"/>
        <w:rPr/>
      </w:pPr>
      <w:r>
        <w:rPr>
          <w:u w:val="none"/>
        </w:rPr>
        <w:tab/>
      </w:r>
      <w:bookmarkStart w:id="15" w:name="__RefHeading___Toc499529821"/>
      <w:r>
        <w:rPr/>
        <w:t>If Taken, Clearly Establish Any “Transition” Period</w:t>
      </w:r>
      <w:bookmarkEnd w:id="15"/>
    </w:p>
    <w:p>
      <w:pPr>
        <w:pStyle w:val="Normal"/>
        <w:rPr/>
      </w:pPr>
      <w:r>
        <w:rPr/>
      </w:r>
    </w:p>
    <w:p>
      <w:pPr>
        <w:pStyle w:val="BodyTextIndent"/>
        <w:rPr/>
      </w:pPr>
      <w:r>
        <w:rPr/>
        <w:t xml:space="preserve">There is a real need—if FERC goes in this direction—to establish a clear timeframe or objective criteria for imposition of any “transitional periods” deemed necessary to fix the market structure, coupled with incentives/disincentives to achieve reforms within that timeframe.  For example, the November Order appears to assume a two-year period will be necessary to implement certain market design changes.  This may well be the case.  Our concern, however, is that some parties could have incentives not to allow progress on changes which are needed in the long run.  Some form of countervailing force is required to balance the interests.  The establishment of a fixed “transition” period is needed to avoid a perpetually “under construction” market design.  Otherwise some interests could have the incentive to slow needed reforms.  </w:t>
      </w:r>
    </w:p>
    <w:p>
      <w:pPr>
        <w:pStyle w:val="Heading1"/>
        <w:ind w:hanging="0" w:start="0"/>
        <w:rPr/>
      </w:pPr>
      <w:r>
        <w:rPr>
          <w:u w:val="none"/>
        </w:rPr>
        <w:t xml:space="preserve"> </w:t>
      </w:r>
      <w:r>
        <w:rPr>
          <w:u w:val="none"/>
        </w:rPr>
        <w:tab/>
      </w:r>
      <w:bookmarkStart w:id="16" w:name="__RefHeading___Toc499529822"/>
      <w:r>
        <w:rPr/>
        <w:t>Specific Comments on FERC November Order</w:t>
      </w:r>
      <w:bookmarkEnd w:id="16"/>
    </w:p>
    <w:p>
      <w:pPr>
        <w:pStyle w:val="Normal"/>
        <w:spacing w:lineRule="auto" w:line="480"/>
        <w:ind w:firstLine="706" w:end="0"/>
        <w:rPr/>
      </w:pPr>
      <w:r>
        <w:rPr/>
        <w:t xml:space="preserve">IEP applauds the Staff Report and portions of the November Order.  IEP believes the November Order represents an important and decisive step in the right direction.  While we have areas of concern, we believe the Staff Report represents an outstanding and objective analysis of the problems with “market fundamentals” existing throughout the West.  </w:t>
      </w:r>
      <w:r>
        <w:rPr>
          <w:i/>
          <w:iCs/>
        </w:rPr>
        <w:t>The Report shows that market participants have acted within the rules</w:t>
      </w:r>
      <w:r>
        <w:rPr/>
        <w:t>, and it concurs with similar findings and conclusions reached by the ISO’s Market Surveillance Committee and the CalPX’s Compliance Unit.  The Report and November Order show that our market is operating in a sub-optimal manner during periods of high demand throughout the region and that its design can and should be improved.  Clearly, now is the time to move forward and get the long-term options and solutions into place to correct the market design flaws as well as the underlying state of the marketplace.</w:t>
      </w:r>
    </w:p>
    <w:p>
      <w:pPr>
        <w:pStyle w:val="BodyTextIndent2"/>
        <w:spacing w:lineRule="auto" w:line="480"/>
        <w:rPr/>
      </w:pPr>
      <w:r>
        <w:rPr/>
        <w:t>We applaud the November Order’s reaffirmation of FERC’s commitment to markets and market-based rate regulation.  We urge the Commission to resist calls for re-regulation.  We also ask that you resist calls to create some type of “hybrid” regulatory system that falls somewhere between traditional cost-of-service rate regulation and market-based systems; such an approach is likely to embrace the worst of both worlds and lead to undesirable and unintended consequences.  It must be recognized that even a so-called “perfectly competitive market”</w:t>
      </w:r>
      <w:r>
        <w:rPr>
          <w:rStyle w:val="FootnoteCharacters"/>
          <w:rStyle w:val="FootnoteReference"/>
        </w:rPr>
        <w:footnoteReference w:id="33"/>
      </w:r>
      <w:r>
        <w:rPr/>
        <w:t xml:space="preserve"> can produce results that are not politically popular, especially in circumstances seen this summer given the increases in fuel and other costs associated with generation.  </w:t>
      </w:r>
    </w:p>
    <w:p>
      <w:pPr>
        <w:pStyle w:val="Heading2"/>
        <w:ind w:hanging="0" w:start="0"/>
        <w:rPr/>
      </w:pPr>
      <w:bookmarkStart w:id="17" w:name="__RefHeading___Toc499529823"/>
      <w:bookmarkEnd w:id="17"/>
      <w:r>
        <w:rPr/>
        <w:t>Clarifications / Modifications are Needed to the November Order</w:t>
      </w:r>
    </w:p>
    <w:p>
      <w:pPr>
        <w:pStyle w:val="Normal"/>
        <w:rPr/>
      </w:pPr>
      <w:r>
        <w:rPr/>
      </w:r>
    </w:p>
    <w:p>
      <w:pPr>
        <w:pStyle w:val="BodyTextIndent2"/>
        <w:spacing w:lineRule="auto" w:line="480"/>
        <w:ind w:firstLine="710" w:end="0"/>
        <w:rPr/>
      </w:pPr>
      <w:r>
        <w:rPr/>
        <w:t xml:space="preserve">Modifications and clarifications are needed to the November Order.  In most respects what is needed are additional details to remove potential ambiguities in order to provide clear direction and minimize regulatory uncertainty.  The two major subjects in this area concern the potential for refunds and the imposition of wholesale price caps.  </w:t>
      </w:r>
    </w:p>
    <w:p>
      <w:pPr>
        <w:pStyle w:val="Heading3"/>
        <w:rPr/>
      </w:pPr>
      <w:bookmarkStart w:id="18" w:name="__RefHeading___Toc499529824"/>
      <w:bookmarkEnd w:id="18"/>
      <w:r>
        <w:rPr/>
        <w:t>The Specter of Retroactive Refunds and “Equitable Solutions”</w:t>
      </w:r>
    </w:p>
    <w:p>
      <w:pPr>
        <w:pStyle w:val="Normal"/>
        <w:ind w:start="1430" w:end="0"/>
        <w:rPr/>
      </w:pPr>
      <w:r>
        <w:rPr/>
      </w:r>
    </w:p>
    <w:p>
      <w:pPr>
        <w:pStyle w:val="BodyTextIndent2"/>
        <w:spacing w:lineRule="auto" w:line="480"/>
        <w:ind w:firstLine="710" w:end="0"/>
        <w:rPr/>
      </w:pPr>
      <w:r>
        <w:rPr/>
        <w:t>The November Order fails to definitively address important details concerning the risks of refunds in terms of (a) retroactive refunds prior to October 2, 2000, and (b) in terms of some oblique reference to “equitable solutions.”  The specter of these two concepts threatens the swift correction to the ills of the markets today.</w:t>
      </w:r>
    </w:p>
    <w:p>
      <w:pPr>
        <w:pStyle w:val="BodyTextIndent2"/>
        <w:spacing w:lineRule="auto" w:line="480"/>
        <w:ind w:firstLine="710" w:end="0"/>
        <w:rPr/>
      </w:pPr>
      <w:r>
        <w:rPr/>
        <w:t xml:space="preserve">IEP firmly believes that the suggestion of potential retroactive refunds associated with transactions </w:t>
      </w:r>
      <w:r>
        <w:rPr>
          <w:i/>
          <w:iCs/>
        </w:rPr>
        <w:t>prior to</w:t>
      </w:r>
      <w:r>
        <w:rPr/>
        <w:t xml:space="preserve"> October 2 cannot be supported by the law.  Suggestions of retroactive refunds completely undermine real improvements toward market and regulatory stability undertaken elsewhere in the November Order.  IEP supports FERC’s analysis rejecting the suggestion of retroactive refunds as described in Appendix E of the November Order.  The threat of potential refunds outside the 15-month statutory period refund period creates an expansive refund “cloud” over California (unrelated to any particular participant behavior) that will impede desperately needed investments in new capacity throughout the West.  Moreover, to IEP’s knowledge no party has to date presented the Commission with any suggestions about how the myriad of practical problems associated with any attempt to “unwind” the multitude of transactional steps associated with delivery of power to consumers could be accomplished, particularly where a market also involves participation by non-jurisdictional entities.</w:t>
      </w:r>
      <w:r>
        <w:rPr>
          <w:rStyle w:val="FootnoteCharacters"/>
          <w:rStyle w:val="FootnoteReference"/>
        </w:rPr>
        <w:footnoteReference w:id="34"/>
      </w:r>
      <w:r>
        <w:rPr/>
        <w:t xml:space="preserve">  The only certainty associated with such efforts will be years of protracted litigation.  </w:t>
      </w:r>
    </w:p>
    <w:p>
      <w:pPr>
        <w:pStyle w:val="BodyTextIndent2"/>
        <w:spacing w:lineRule="auto" w:line="480"/>
        <w:ind w:firstLine="710" w:end="0"/>
        <w:rPr/>
      </w:pPr>
      <w:r>
        <w:rPr/>
        <w:t xml:space="preserve">Much more troubling is the suggestion that some type of “equitable solution” beyond the Commission’s statutory refund authority will be entertained.  Such language epitomizes the type of action that will threaten the investment and market environment that the Commission and others have worked diligently to develop.  It suggests that some amorphous, indefinable, non-market standard will be applied to market-based results irrespective of a party’s adherence to market rules simply for the purpose of retroactively altering the value of energy and ancillary services long after they are delivered.  This ill-conceived notion is the most likely to signal the end of a competitive market in California.  It could have the completely undesirable consequence of discouraging development of high-cost resources that operate during the limited peak hours because of an indefinable risk of subsequent confiscations. </w:t>
      </w:r>
    </w:p>
    <w:p>
      <w:pPr>
        <w:pStyle w:val="BodyTextIndent2"/>
        <w:spacing w:lineRule="auto" w:line="480"/>
        <w:ind w:firstLine="710" w:end="0"/>
        <w:rPr/>
      </w:pPr>
      <w:r>
        <w:rPr/>
        <w:t xml:space="preserve">We respectfully urge the Commission to remove any and all suggestions that it will act in excess of statutory authority and order refunds based on some unknown, subjective and undefined basis.  Market participants are used to and capable of addressing market-associated risks such as fuel costs and operating factors.  The risks associated with this proposal cannot be managed or hedged.  The “equitable solutions” language found in the November Order only invites litigation and exacerbates uncertainty that will harm California.  Recent media accounts are replete with opinions that the language found in the November Order will form the basis of litigation that we believe will mire development of real solutions.  It represents the antithesis of a legal standard of review and cannot provide the Commission or market participants with established legal principles upon which to analyze market activities and allegations of abuses.  Because of this we believe that this “equitable solutions” language should be eliminated as vague and unsupportable.  </w:t>
      </w:r>
    </w:p>
    <w:p>
      <w:pPr>
        <w:pStyle w:val="BodyTextIndent2"/>
        <w:spacing w:lineRule="auto" w:line="480"/>
        <w:ind w:firstLine="710" w:end="0"/>
        <w:rPr/>
      </w:pPr>
      <w:r>
        <w:rPr/>
        <w:t>If FERC takes the ill-advised route and decides to retain this proposal, you must explicitly state the nature of this risk and clarify—in the most unequivocal of terms—that it is a temporary “transition” device only and that it will end on a date certain and not be subject to reopening.  Without an end date to these risks, forward markets cannot operate effectively, if at all.  FERC must also make clear that generators selling their output under forward, bilateral arrangements or through competitive exchanges will not be at risk for any subsequent transactions or resales by counterparties, otherwise there will be a new set of market risks that will threaten existing contractual arrangements as well as impose tremendous new transaction costs upon the marketplace.</w:t>
      </w:r>
    </w:p>
    <w:p>
      <w:pPr>
        <w:pStyle w:val="Heading3"/>
        <w:rPr/>
      </w:pPr>
      <w:bookmarkStart w:id="19" w:name="__RefHeading___Toc499529825"/>
      <w:bookmarkEnd w:id="19"/>
      <w:r>
        <w:rPr/>
        <w:t>The Basis For Prospective Refunds Should Be Clearly Established as the Abuse of Market Power</w:t>
      </w:r>
    </w:p>
    <w:p>
      <w:pPr>
        <w:pStyle w:val="BodyTextIndent2"/>
        <w:rPr>
          <w:u w:val="single"/>
        </w:rPr>
      </w:pPr>
      <w:r>
        <w:rPr>
          <w:u w:val="single"/>
        </w:rPr>
      </w:r>
    </w:p>
    <w:p>
      <w:pPr>
        <w:pStyle w:val="BodyTextIndent"/>
        <w:rPr/>
      </w:pPr>
      <w:r>
        <w:rPr/>
        <w:t>Another area of ambiguity created by the November Order is the specific standard that will be applied when ascertaining the need for refunds of market-based rates.  There is an unquestionable need to establish clear standards of review for investigating allegations of abuses of market power, including the time frame which will be analyzed.  It is difficult, if not impossible, for adequate regulatory certainty to exist where the standards are not known or knowable.  IEP firmly believes that the appropriate standard to trigger potential refunds must be the “abuse of market power.” This standard should be clearly defined as the manipulation of market results over a recognized period of time.</w:t>
      </w:r>
      <w:r>
        <w:rPr>
          <w:rStyle w:val="FootnoteCharacters"/>
          <w:rStyle w:val="FootnoteReference"/>
        </w:rPr>
        <w:footnoteReference w:id="35"/>
      </w:r>
      <w:r>
        <w:rPr/>
        <w:t xml:space="preserve">  Such a standard is behavior-based, definable and appropriate for the marketplace.  Unfortunately, it appears that some parties will argue that refunds for “market manipulation” should be based on a subjective standard such as market prices based on a presumption that market-based rates exceeding a proxy price could only result from bad behavior such as the abuse of market power or “irresponsibility.”</w:t>
      </w:r>
      <w:r>
        <w:rPr>
          <w:rStyle w:val="FootnoteCharacters"/>
          <w:rStyle w:val="FootnoteReference"/>
        </w:rPr>
        <w:footnoteReference w:id="36"/>
      </w:r>
      <w:r>
        <w:rPr/>
        <w:t xml:space="preserve">  FERC must reject this route and establish a clear refund standard based on specific behaviors rather than one which would punish participants for unpopular market results. </w:t>
      </w:r>
    </w:p>
    <w:p>
      <w:pPr>
        <w:pStyle w:val="BodyTextIndent"/>
        <w:rPr/>
      </w:pPr>
      <w:r>
        <w:rPr/>
        <w:t xml:space="preserve">There is a need to recognize that all projects must recover their capital and fixed costs from the market revenues.  The recovery of costs from the marketplace is the cornerstone to a market-based restructuring.  This means that prices resulting from the market will reflect a host of perceptions, conditions and costs.  As long as parties behave consistent with the rules of the marketplace, they should be able to rest assured that the results will be considered just and reasonable.  They should also know that if they abuse any market power they may hold, they will be disgorged of the resulting excess revenues.  Any other type of non-behavioral standard will ultimately increase participants’ perception of market risk, and hence will cause an elevation of prices.  </w:t>
      </w:r>
    </w:p>
    <w:p>
      <w:pPr>
        <w:pStyle w:val="Heading3"/>
        <w:spacing w:lineRule="auto" w:line="480"/>
        <w:rPr/>
      </w:pPr>
      <w:bookmarkStart w:id="20" w:name="__RefHeading___Toc499529826"/>
      <w:r>
        <w:rPr/>
        <w:t>Issues Concerning Implementation of the “Soft Cap.”</w:t>
      </w:r>
      <w:bookmarkEnd w:id="20"/>
      <w:r>
        <w:rPr/>
        <w:t xml:space="preserve">  </w:t>
      </w:r>
    </w:p>
    <w:p>
      <w:pPr>
        <w:pStyle w:val="BodyTextIndent"/>
        <w:rPr/>
      </w:pPr>
      <w:r>
        <w:rPr/>
        <w:t>IEP has concerns about the implementation of the “soft cap” proposal.  IEP has not and does not support price caps because it impedes the operation of the market and distorts price signals.  Such mechanisms should have no place in competitive markets in the long-run.  The Staff Report notes that caps do not work.</w:t>
      </w:r>
      <w:r>
        <w:rPr>
          <w:rStyle w:val="FootnoteCharacters"/>
          <w:rStyle w:val="FootnoteReference"/>
        </w:rPr>
        <w:footnoteReference w:id="37"/>
      </w:r>
      <w:r>
        <w:rPr/>
        <w:t xml:space="preserve">  IEP is concerned, as are others, that the soft cap proposal will fail to attract new investments in supply or foster meaningful demand response.</w:t>
      </w:r>
      <w:r>
        <w:rPr>
          <w:rStyle w:val="FootnoteCharacters"/>
          <w:rStyle w:val="FootnoteReference"/>
        </w:rPr>
        <w:footnoteReference w:id="38"/>
      </w:r>
      <w:r>
        <w:rPr/>
        <w:t xml:space="preserve">   It is particularly problematic in terms of attracting new capacity that will operate as peaker units for a limited number of hours when weather-induced demand cannot be met from less expensive units or imports.</w:t>
      </w:r>
      <w:r>
        <w:rPr>
          <w:rStyle w:val="FootnoteCharacters"/>
          <w:rStyle w:val="FootnoteReference"/>
        </w:rPr>
        <w:footnoteReference w:id="39"/>
      </w:r>
      <w:r>
        <w:rPr/>
        <w:t xml:space="preserve">  </w:t>
      </w:r>
    </w:p>
    <w:p>
      <w:pPr>
        <w:pStyle w:val="BodyTextIndent"/>
        <w:rPr/>
      </w:pPr>
      <w:r>
        <w:rPr/>
        <w:t>The soft cap also appears to be especially problematic to power marketers who make wholesale purchases for subsequent resale but who may not own the underlying physical generation assets.  These entities have a major role in the marketplace in terms of bringing demand and supply together and they seek a return on the risks they undertake.  Power marketers often enter contracts to purchase supplies long before delivery is due and prevailing market conditions can be known.  They undertake a set of associated market risks regarding future market conditions clearly distinct from parties who own and control the generation assets.  These entities will perceive the “soft cap” as a “hard cap” which will chill their participation in California, particularly when regional supplies become tight and expensive.</w:t>
      </w:r>
      <w:r>
        <w:rPr>
          <w:rStyle w:val="FootnoteCharacters"/>
          <w:rStyle w:val="FootnoteReference"/>
        </w:rPr>
        <w:footnoteReference w:id="40"/>
      </w:r>
      <w:r>
        <w:rPr/>
        <w:t xml:space="preserve">  This unintended consequence must be avoided or the markets will be hobbled.  This is due, in part, to language in the November Order that would be ambiguous for parties who do not have “operating costs” associated with a plant as well as ambiguities regarding the definition of “opportunity costs.”  If the soft cap proposal is pursued, the Commission must make clear how the associated standards would apply to power marketers, including how parties can define “opportunity costs” in light of multiple trading hubs and potential bilateral transactions.</w:t>
      </w:r>
    </w:p>
    <w:p>
      <w:pPr>
        <w:pStyle w:val="BodyTextIndent"/>
        <w:rPr/>
      </w:pPr>
      <w:r>
        <w:rPr/>
        <w:t>IEP echoes the concern articulated by the CAISO that the soft cap proposal may divert or require additional CAISO resources.</w:t>
      </w:r>
      <w:r>
        <w:rPr>
          <w:rStyle w:val="FootnoteCharacters"/>
          <w:rStyle w:val="FootnoteReference"/>
        </w:rPr>
        <w:footnoteReference w:id="41"/>
      </w:r>
      <w:r>
        <w:rPr/>
        <w:t xml:space="preserve">   It will clearly compound the settlement processes at the CAISO as transactions above the soft cap will require additional tracking and segregation to allow for potential “unwinding” should the bids be disallowed.  It will also require some form of new software to provide for potential calculation of the weighted averaged prices suggested in the November Order, presumably in 10-minute increments, to blend with the market clearing prices established in the various markets.  Moreover, if that averaged price associated with bids above the cap is modified often, then CAISO will be required to “re-run” settlements or undertake subsequent settlement adjustments.  It is possible that these efforts—which are suggested as temporary measures in the November Order—would take away from CAISO’s efforts at developing solutions to longer-run problems in terms of software modifications/development.  At first blush the details regarding implementation of the soft cap proposal are not straightforward as currently described, and any further exploration of this approach will at least require a “technical conference” to clarify the mechanics and to ensure that it can be done in a reasonable manner.  </w:t>
      </w:r>
    </w:p>
    <w:p>
      <w:pPr>
        <w:pStyle w:val="BodyTextIndent"/>
        <w:rPr/>
      </w:pPr>
      <w:r>
        <w:rPr/>
        <w:t>IEP could only support the soft cap proposal if it is part of a negotiated package of inter-jurisdictional programs, and provided that it is subject to a pre-established unidirectional escalation mechanism.  The inter-jurisdictional elements must include:</w:t>
      </w:r>
    </w:p>
    <w:p>
      <w:pPr>
        <w:pStyle w:val="BodyTextIndent"/>
        <w:numPr>
          <w:ilvl w:val="0"/>
          <w:numId w:val="6"/>
        </w:numPr>
        <w:spacing w:lineRule="auto" w:line="240"/>
        <w:rPr/>
      </w:pPr>
      <w:r>
        <w:rPr/>
        <w:t xml:space="preserve">establishment of standards applicable to potential refunds based on specific allegations of market power abuse in FERC jurisdictional markets; </w:t>
      </w:r>
    </w:p>
    <w:p>
      <w:pPr>
        <w:pStyle w:val="BodyTextIndent"/>
        <w:spacing w:lineRule="auto" w:line="240"/>
        <w:ind w:hanging="0" w:start="1080" w:end="0"/>
        <w:rPr/>
      </w:pPr>
      <w:r>
        <w:rPr/>
      </w:r>
    </w:p>
    <w:p>
      <w:pPr>
        <w:pStyle w:val="BodyTextIndent"/>
        <w:numPr>
          <w:ilvl w:val="0"/>
          <w:numId w:val="6"/>
        </w:numPr>
        <w:spacing w:lineRule="auto" w:line="240"/>
        <w:rPr/>
      </w:pPr>
      <w:r>
        <w:rPr/>
        <w:t>establishment of mechanisms for “flagging” transactions that will be the subject of reviews for potential refunds, declaring a “safe harbor” for non-flagged transactions, and providing for resolution of any reviews within a reasonable time;</w:t>
      </w:r>
    </w:p>
    <w:p>
      <w:pPr>
        <w:pStyle w:val="BodyTextIndent"/>
        <w:spacing w:lineRule="auto" w:line="240"/>
        <w:ind w:hanging="0" w:start="1080" w:end="0"/>
        <w:rPr/>
      </w:pPr>
      <w:r>
        <w:rPr/>
      </w:r>
    </w:p>
    <w:p>
      <w:pPr>
        <w:pStyle w:val="BodyTextIndent"/>
        <w:numPr>
          <w:ilvl w:val="0"/>
          <w:numId w:val="6"/>
        </w:numPr>
        <w:spacing w:lineRule="auto" w:line="240"/>
        <w:rPr/>
      </w:pPr>
      <w:r>
        <w:rPr/>
        <w:t>definition of durable reasonableness review standards applicable to wholesale purchases by the load serving utilities such that they will no longer be discouraged from entering bilateral arrangements on a forward basis;</w:t>
      </w:r>
    </w:p>
    <w:p>
      <w:pPr>
        <w:pStyle w:val="BodyTextIndent"/>
        <w:spacing w:lineRule="auto" w:line="240"/>
        <w:ind w:hanging="0" w:start="1080" w:end="0"/>
        <w:rPr/>
      </w:pPr>
      <w:r>
        <w:rPr/>
      </w:r>
    </w:p>
    <w:p>
      <w:pPr>
        <w:pStyle w:val="BodyTextIndent"/>
        <w:numPr>
          <w:ilvl w:val="0"/>
          <w:numId w:val="6"/>
        </w:numPr>
        <w:spacing w:lineRule="auto" w:line="240"/>
        <w:rPr/>
      </w:pPr>
      <w:r>
        <w:rPr/>
        <w:t>establishment of a “road map” by the California Commission that delineates a firm timeline—with milestones—for the review and resolution of retail market issues including market-based demand responsiveness;</w:t>
      </w:r>
    </w:p>
    <w:p>
      <w:pPr>
        <w:pStyle w:val="BodyTextIndent"/>
        <w:spacing w:lineRule="auto" w:line="240"/>
        <w:ind w:hanging="0" w:start="1080" w:end="0"/>
        <w:rPr/>
      </w:pPr>
      <w:r>
        <w:rPr/>
      </w:r>
    </w:p>
    <w:p>
      <w:pPr>
        <w:pStyle w:val="BodyTextIndent"/>
        <w:numPr>
          <w:ilvl w:val="0"/>
          <w:numId w:val="6"/>
        </w:numPr>
        <w:spacing w:lineRule="auto" w:line="240"/>
        <w:rPr/>
      </w:pPr>
      <w:r>
        <w:rPr/>
        <w:t>establishment of a “road map” by this Commission, in consultation with the CAISO, that delineates a firm timeline—with milestones—for the review and resolution of implementation issues associated with the Commission’s subsequent order in this docket as well as other outstanding proposals such as generation interconnection rules and congestion management;</w:t>
      </w:r>
    </w:p>
    <w:p>
      <w:pPr>
        <w:pStyle w:val="BodyTextIndent"/>
        <w:spacing w:lineRule="auto" w:line="240"/>
        <w:ind w:hanging="0" w:start="1080" w:end="0"/>
        <w:rPr/>
      </w:pPr>
      <w:r>
        <w:rPr/>
      </w:r>
    </w:p>
    <w:p>
      <w:pPr>
        <w:pStyle w:val="BodyTextIndent"/>
        <w:numPr>
          <w:ilvl w:val="0"/>
          <w:numId w:val="6"/>
        </w:numPr>
        <w:spacing w:lineRule="auto" w:line="240"/>
        <w:rPr/>
      </w:pPr>
      <w:r>
        <w:rPr/>
        <w:t>establishment of a firm sunset date, not to exceed 2003, to bound the duration of soft cap;</w:t>
      </w:r>
    </w:p>
    <w:p>
      <w:pPr>
        <w:pStyle w:val="BodyTextIndent"/>
        <w:spacing w:lineRule="auto" w:line="240"/>
        <w:ind w:hanging="0" w:start="1080" w:end="0"/>
        <w:rPr/>
      </w:pPr>
      <w:r>
        <w:rPr/>
      </w:r>
    </w:p>
    <w:p>
      <w:pPr>
        <w:pStyle w:val="BodyTextIndent"/>
        <w:numPr>
          <w:ilvl w:val="0"/>
          <w:numId w:val="6"/>
        </w:numPr>
        <w:spacing w:lineRule="auto" w:line="240"/>
        <w:rPr/>
      </w:pPr>
      <w:r>
        <w:rPr/>
        <w:t>implementation of a unidirectional soft cap escalation mechanism, not subject to subsequent lowering, which is based upon a pre-established schedule.</w:t>
      </w:r>
    </w:p>
    <w:p>
      <w:pPr>
        <w:pStyle w:val="BodyTextIndent"/>
        <w:spacing w:lineRule="auto" w:line="240"/>
        <w:ind w:hanging="0" w:end="0"/>
        <w:rPr/>
      </w:pPr>
      <w:r>
        <w:rPr/>
      </w:r>
      <w:r>
        <w:br w:type="page"/>
      </w:r>
    </w:p>
    <w:p>
      <w:pPr>
        <w:pStyle w:val="Heading2"/>
        <w:keepNext w:val="true"/>
        <w:ind w:hanging="0" w:start="0"/>
        <w:rPr/>
      </w:pPr>
      <w:bookmarkStart w:id="21" w:name="__RefHeading___Toc499529827"/>
      <w:bookmarkEnd w:id="21"/>
      <w:r>
        <w:rPr/>
        <w:t>Elimination of a Lingering Refund Risk</w:t>
      </w:r>
    </w:p>
    <w:p>
      <w:pPr>
        <w:pStyle w:val="Normal"/>
        <w:rPr/>
      </w:pPr>
      <w:r>
        <w:rPr/>
      </w:r>
    </w:p>
    <w:p>
      <w:pPr>
        <w:pStyle w:val="Normal"/>
        <w:spacing w:lineRule="auto" w:line="480"/>
        <w:ind w:firstLine="710" w:end="0"/>
        <w:rPr/>
      </w:pPr>
      <w:r>
        <w:rPr/>
        <w:t>The Commission should limit the duration of any refund risk, as suggested by parties at the November 9 hearing.</w:t>
      </w:r>
      <w:r>
        <w:rPr>
          <w:rStyle w:val="FootnoteCharacters"/>
          <w:rStyle w:val="FootnoteReference"/>
        </w:rPr>
        <w:footnoteReference w:id="42"/>
      </w:r>
      <w:r>
        <w:rPr/>
        <w:t xml:space="preserve">  Irrespective of whether or not a capping mechanism is applied, there needs to be some type of  limitation on the refund risk going forward.  Open-ended risk of subsequent refunds—particularly if the “soft cap” or “equitable solutions” concepts are pursued—will have the tremendous unintended consequences that will yield higher prices based on the perception of greater market risks.  </w:t>
      </w:r>
    </w:p>
    <w:p>
      <w:pPr>
        <w:pStyle w:val="Normal"/>
        <w:spacing w:lineRule="auto" w:line="480"/>
        <w:ind w:firstLine="710" w:end="0"/>
        <w:rPr/>
      </w:pPr>
      <w:r>
        <w:rPr/>
        <w:t xml:space="preserve">To this end, and irrespective of whether a capping mechanism is in place, there is a need to establish a workable and relatively short period for the “flagging” of transactions as potentially subject to refund.  Transactions not flagged would be deemed presumptively final, subject to the normal applicable transaction settlement processes.  Such a flagging approach should allow market participants a degree of finality to transactions by creating a “safe harbor” that removes the otherwise lingering cloud of potential refund.  The review process itself should reach resolution within a reasonable time and be undertaken pursuant to expedited processes that apply the previously articulated standards.  That initial review window for flagging transactions may need to allow adequate time for underlying data (such as metering data) as well as some short period initial analysis and identification by the market monitoring entities.     </w:t>
      </w:r>
    </w:p>
    <w:p>
      <w:pPr>
        <w:pStyle w:val="Heading2"/>
        <w:keepNext w:val="true"/>
        <w:keepLines/>
        <w:tabs>
          <w:tab w:val="clear" w:pos="720"/>
          <w:tab w:val="left" w:pos="1065" w:leader="none"/>
        </w:tabs>
        <w:ind w:hanging="288" w:start="1066" w:end="0"/>
        <w:rPr/>
      </w:pPr>
      <w:bookmarkStart w:id="22" w:name="__RefHeading___Toc499529828"/>
      <w:bookmarkEnd w:id="22"/>
      <w:r>
        <w:rPr/>
        <w:t>“</w:t>
      </w:r>
      <w:r>
        <w:rPr/>
        <w:t>Load Differentiated” Price Caps Are Unworkable And Undermine Market Operations</w:t>
      </w:r>
    </w:p>
    <w:p>
      <w:pPr>
        <w:pStyle w:val="Normal"/>
        <w:rPr/>
      </w:pPr>
      <w:r>
        <w:rPr/>
      </w:r>
    </w:p>
    <w:p>
      <w:pPr>
        <w:pStyle w:val="BodyTextIndent2"/>
        <w:spacing w:lineRule="auto" w:line="480"/>
        <w:rPr/>
      </w:pPr>
      <w:r>
        <w:rPr/>
        <w:t>IEP vigorously opposes the concept of “load differentiated price caps” (“LDPCs”) because they add yet another layer of complexity to the marketplace that will undermine the efficient operation of the forward markets.  This opposition is consistent with a number of parties who opposed CAISO’s attempt to adopt such a proposal.</w:t>
      </w:r>
      <w:r>
        <w:rPr>
          <w:rStyle w:val="FootnoteCharacters"/>
          <w:rStyle w:val="FootnoteReference"/>
        </w:rPr>
        <w:footnoteReference w:id="43"/>
      </w:r>
      <w:r>
        <w:rPr/>
        <w:t xml:space="preserve">  The Commission rejected the proposal in the November Order and it must similarly reject any renewed calls for its implementation.  </w:t>
      </w:r>
    </w:p>
    <w:p>
      <w:pPr>
        <w:pStyle w:val="BodyTextIndent2"/>
        <w:spacing w:lineRule="auto" w:line="480"/>
        <w:rPr>
          <w:b/>
          <w:bCs/>
        </w:rPr>
      </w:pPr>
      <w:r>
        <w:rPr/>
        <w:t>LDPCs present incredible implementation issues, including the same, if not greater, types of resource demands which the soft cap will present.  Despite protestations to the contrary, it is a cost-based cap as it posits a proxy “system” efficiency as to particular demand levels.</w:t>
      </w:r>
      <w:r>
        <w:rPr>
          <w:rStyle w:val="FootnoteCharacters"/>
          <w:rStyle w:val="FootnoteReference"/>
        </w:rPr>
        <w:footnoteReference w:id="44"/>
      </w:r>
      <w:r>
        <w:rPr/>
        <w:t xml:space="preserve">  The proposal utilizes gas prices from a distant trading hub and ignores gas transportation costs into California.  The proponents of this non-market scheme present no evidence that the demand/efficiency differentiation that they propose is related to or reflects the operations of California’s aged resource fleet.  It is an arbitrary approach riddled with implementation and verification nightmares that is designed solely to generate lower, non-market prices irrespective of regional market conditions.  As such, it will lead to a mushrooming of settlement disputes at the CAISO as parties bicker over gas prices, load forecasts and the like.  The Commission must recognize that floating price cap mechanisms, much like other repeated efforts to lower the CAISO’s purchase price caps, ultimately undermine the operation of the forward markets because no buyer or seller will entertain transactions that will likely become “overpriced” by subsequent regulatory fiat.</w:t>
      </w:r>
      <w:r>
        <w:rPr>
          <w:rStyle w:val="FootnoteCharacters"/>
          <w:rStyle w:val="FootnoteReference"/>
        </w:rPr>
        <w:footnoteReference w:id="45"/>
      </w:r>
      <w:r>
        <w:rPr/>
        <w:t xml:space="preserve">  LDPCs are a bad idea that should be permanently laid to rest and FERC must take this opportunity to do so.  </w:t>
      </w:r>
    </w:p>
    <w:p>
      <w:pPr>
        <w:pStyle w:val="Heading1"/>
        <w:numPr>
          <w:ilvl w:val="0"/>
          <w:numId w:val="5"/>
        </w:numPr>
        <w:rPr/>
      </w:pPr>
      <w:bookmarkStart w:id="23" w:name="__RefHeading___Toc499529829"/>
      <w:bookmarkEnd w:id="23"/>
      <w:r>
        <w:rPr/>
        <w:t>State Level Impediments Frustrate Market Self-Correction</w:t>
      </w:r>
    </w:p>
    <w:p>
      <w:pPr>
        <w:pStyle w:val="Normal"/>
        <w:spacing w:lineRule="auto" w:line="480"/>
        <w:ind w:firstLine="706" w:end="0"/>
        <w:rPr>
          <w:b/>
          <w:bCs/>
        </w:rPr>
      </w:pPr>
      <w:r>
        <w:rPr/>
        <w:t xml:space="preserve">IEP recognizes that FERC has a relatively narrow set of issues that clearly fall within its jurisdiction, and that the much larger set of market improvements can and must be made in areas subject to the State’s regulation.  As stated earlier, and notwithstanding rhetoric circulating regarding the “federalization” of California’s energy markets, the lion’s share of market design improvements </w:t>
      </w:r>
      <w:r>
        <w:rPr>
          <w:i/>
          <w:iCs/>
        </w:rPr>
        <w:t>can only come</w:t>
      </w:r>
      <w:r>
        <w:rPr/>
        <w:t xml:space="preserve"> from State-level actions to remove impediments to new supply and to improve supply procurement strategies.  We applaud FERC’s  identification of these issues and we hope that those agencies with the ability to correct those problems will do so expeditiously.  There should be a common goal of creating wholesale and retail market structures that will allow for load aggregation, differentiation and response founded on a basis of customer choice, with sufficient market stability to foster investments in conservation, demand response and new supplies in conjunction with sufficient procurement flexibility for the providers serving those loads.  Other steps must be taken at the State level.  While legislative changes were made this past summer with the intention of simplifying the construction of new supplies, it now appears that few, if any, projects will be able to take advantage of those provisions.</w:t>
      </w:r>
      <w:r>
        <w:rPr>
          <w:rStyle w:val="FootnoteCharacters"/>
          <w:rStyle w:val="FootnoteReference"/>
        </w:rPr>
        <w:footnoteReference w:id="46"/>
      </w:r>
      <w:r>
        <w:rPr/>
        <w:t xml:space="preserve">  Additionally, some projects now in the “permitting pipeline” will not come through the other side, and others that do gain regulatory permits could face other insurmountable hurdles such as local opposition that will preclude their construction.  </w:t>
      </w:r>
    </w:p>
    <w:p>
      <w:pPr>
        <w:pStyle w:val="BodyTextIndent"/>
        <w:rPr/>
      </w:pPr>
      <w:r>
        <w:rPr/>
        <w:t>Better forward contracting by the utilities (and customers within the retail market) can make tremendous improvements in California, including reductions in the reliance on the CAISO’s realtime markets.  Certain steps must be made in short order to provide parties with time to contract supplies for the peak period which is less than seven months away.  Obviously the changes in this area must also ensure that the incumbent utilities cannot thwart development of certain other needed retail solutions, such as the creation of market-based demand responsiveness and enhanced customer choice.  But removal of the buy/sell requirement alone is not sufficient.  Since June of this year, IEP’s members have presented offers to the utilities at competitive prices that were below the then-current price caps, but apparently their high risk aversion coupled with regulatory concerns—namely lack of clear reasonableness review standards or the failure to gain timely advanced approval as to the reasonableness of utility actions—stalled the consummation of some deals.  While PG&amp;E has very recently taken steps to protect its customers and has entered a number of multi-year forward arrangements, others seem unwilling to secure such supplies in the mysterious belief that—notwithstanding new highs in gas costs and continuing load growth—forward market prices will be lower in the summer.</w:t>
      </w:r>
      <w:r>
        <w:rPr>
          <w:rStyle w:val="FootnoteCharacters"/>
          <w:rStyle w:val="FootnoteReference"/>
        </w:rPr>
        <w:footnoteReference w:id="47"/>
      </w:r>
      <w:r>
        <w:rPr/>
        <w:t xml:space="preserve">  Presumably retail consumers will be informed of the steps, or lack thereof, that their commodity providers have taken to weather the next peak demand period.  Clearly, any “pre-approval” of a proposed utility transaction needing more than a month of review time will severely undermine the benefits of improved procurement flexibility.  State reasonableness review issues are now impeding execution of these forward bilateral deals, effectively creating a double bind where the consumers ultimately lose because supplies are not committed under forward arrangements.</w:t>
      </w:r>
      <w:r>
        <w:rPr>
          <w:rStyle w:val="FootnoteCharacters"/>
          <w:rStyle w:val="FootnoteReference"/>
        </w:rPr>
        <w:footnoteReference w:id="48"/>
      </w:r>
    </w:p>
    <w:p>
      <w:pPr>
        <w:pStyle w:val="Normal"/>
        <w:spacing w:lineRule="auto" w:line="480"/>
        <w:ind w:firstLine="710" w:end="0"/>
        <w:rPr/>
      </w:pPr>
      <w:r>
        <w:rPr/>
        <w:t>Development of price responsiveness and robust retail competition is essential to allow economic signals to shine throughout the region.  The surplus supply conditions assumed at the time the initial California design was crafted do not exist today.  Ultimately, consumers must recognize that the value and price of energy is impacted by region-wide conditions, including regional weather variations, hydro availability and the fact that demand has outstripped supply in a number of states.  Recognition of the seasonal value of energy is needed to spur conservation and the development of new efficient technologies, as well as innovation in the provision of services to customers and the development of new supplies.  The retail rate freeze—particularly under the current market conditions—exacerbates the types of problems identified in the Staff Report, undermines the development of price-responsive loads and is merely a political panacea which will eventually lead to higher costs for consumers.</w:t>
      </w:r>
      <w:r>
        <w:rPr>
          <w:rStyle w:val="FootnoteCharacters"/>
          <w:rStyle w:val="FootnoteReference"/>
        </w:rPr>
        <w:footnoteReference w:id="49"/>
      </w:r>
      <w:r>
        <w:rPr/>
        <w:t xml:space="preserve">  However, we also recognize that consumers, particularly residential and small commercial customers, desire greater rate stability and certainty.  IEP anticipates supporting efforts to revitalize retail competition and customer choice in light of the lessons learned since the implementation of the initial market design.  Obviously we are at a crossroads, and the opportunity exists to take an evolutionary step forward and make needed improvements, or alternatively parties can resist any meaningful progress.</w:t>
      </w:r>
    </w:p>
    <w:p>
      <w:pPr>
        <w:pStyle w:val="BodyTextIndent"/>
        <w:rPr/>
      </w:pPr>
      <w:r>
        <w:rPr/>
        <w:t xml:space="preserve">There are a number of options and solutions where the State needs to “pick up the ball” and move forward—quickly and decisively.  For example, the CPUC could: </w:t>
      </w:r>
    </w:p>
    <w:p>
      <w:pPr>
        <w:pStyle w:val="BodyTextIndent2"/>
        <w:numPr>
          <w:ilvl w:val="0"/>
          <w:numId w:val="3"/>
        </w:numPr>
        <w:rPr/>
      </w:pPr>
      <w:r>
        <w:rPr/>
        <w:t>move on issues regarding defining the role of the utilities and default providers in the restructured markets;</w:t>
      </w:r>
    </w:p>
    <w:p>
      <w:pPr>
        <w:pStyle w:val="BodyTextIndent2"/>
        <w:ind w:hanging="0" w:start="720" w:end="0"/>
        <w:rPr/>
      </w:pPr>
      <w:r>
        <w:rPr/>
      </w:r>
    </w:p>
    <w:p>
      <w:pPr>
        <w:pStyle w:val="BodyTextIndent2"/>
        <w:numPr>
          <w:ilvl w:val="0"/>
          <w:numId w:val="3"/>
        </w:numPr>
        <w:rPr/>
      </w:pPr>
      <w:r>
        <w:rPr/>
        <w:t xml:space="preserve">complete the process of rate unbundling it began in 1996 by fully separating commodity-related costs from wires costs;  </w:t>
      </w:r>
    </w:p>
    <w:p>
      <w:pPr>
        <w:pStyle w:val="BodyTextIndent2"/>
        <w:ind w:hanging="0" w:end="0"/>
        <w:rPr/>
      </w:pPr>
      <w:r>
        <w:rPr/>
      </w:r>
    </w:p>
    <w:p>
      <w:pPr>
        <w:pStyle w:val="BodyTextIndent2"/>
        <w:numPr>
          <w:ilvl w:val="0"/>
          <w:numId w:val="3"/>
        </w:numPr>
        <w:rPr/>
      </w:pPr>
      <w:r>
        <w:rPr/>
        <w:t>clarify and create some certainty regarding the reasonableness standards applicable to utility commodity procurement;</w:t>
      </w:r>
    </w:p>
    <w:p>
      <w:pPr>
        <w:pStyle w:val="BodyTextIndent2"/>
        <w:ind w:hanging="0" w:end="0"/>
        <w:rPr/>
      </w:pPr>
      <w:r>
        <w:rPr/>
      </w:r>
    </w:p>
    <w:p>
      <w:pPr>
        <w:pStyle w:val="BodyTextIndent2"/>
        <w:numPr>
          <w:ilvl w:val="0"/>
          <w:numId w:val="3"/>
        </w:numPr>
        <w:rPr/>
      </w:pPr>
      <w:r>
        <w:rPr/>
        <w:t xml:space="preserve">quickly complete the new investigation started last month into interruptible rates and demand responsiveness such that loads can respond before a system emergency is declared.  </w:t>
      </w:r>
    </w:p>
    <w:p>
      <w:pPr>
        <w:pStyle w:val="BodyTextIndent2"/>
        <w:ind w:hanging="0" w:start="720" w:end="0"/>
        <w:rPr/>
      </w:pPr>
      <w:r>
        <w:rPr/>
      </w:r>
    </w:p>
    <w:p>
      <w:pPr>
        <w:pStyle w:val="BodyTextIndent2"/>
        <w:spacing w:lineRule="auto" w:line="480"/>
        <w:ind w:firstLine="710" w:end="0"/>
        <w:rPr/>
      </w:pPr>
      <w:r>
        <w:rPr/>
        <w:t>The CPUC has before it a number of pending applications regarding transmission projects, and recently a new proceeding, expected to take many months to complete, will “review” the ISO’s efforts to secure peaking resources needed by the State in approximately 210 days.</w:t>
      </w:r>
      <w:r>
        <w:rPr>
          <w:rStyle w:val="FootnoteCharacters"/>
          <w:rStyle w:val="FootnoteReference"/>
        </w:rPr>
        <w:footnoteReference w:id="50"/>
      </w:r>
      <w:r>
        <w:rPr/>
        <w:t xml:space="preserve">  As the Commission is well aware, regulatory uncertainty and community opposition has led to the withdrawal of some of these projects, and it is not clear whether they could be operational in time for the start of summer.</w:t>
      </w:r>
      <w:r>
        <w:rPr>
          <w:rStyle w:val="FootnoteCharacters"/>
          <w:rStyle w:val="FootnoteReference"/>
        </w:rPr>
        <w:footnoteReference w:id="51"/>
      </w:r>
      <w:r>
        <w:rPr/>
        <w:t xml:space="preserve">  </w:t>
      </w:r>
    </w:p>
    <w:p>
      <w:pPr>
        <w:pStyle w:val="Heading1"/>
        <w:numPr>
          <w:ilvl w:val="0"/>
          <w:numId w:val="5"/>
        </w:numPr>
        <w:rPr/>
      </w:pPr>
      <w:bookmarkStart w:id="24" w:name="__RefHeading___Toc499529830"/>
      <w:bookmarkEnd w:id="24"/>
      <w:r>
        <w:rPr/>
        <w:t>Conclusion: It is Critical to Move Forward to Solve These Problems</w:t>
      </w:r>
    </w:p>
    <w:p>
      <w:pPr>
        <w:pStyle w:val="Normal"/>
        <w:spacing w:lineRule="auto" w:line="480"/>
        <w:ind w:firstLine="710" w:end="0"/>
        <w:rPr/>
      </w:pPr>
      <w:r>
        <w:rPr/>
        <w:t xml:space="preserve">Time is of the essence if California is to solve its problems.  Summer will not wait for the resources and other options to be in place.  The Staff Report shows that the West as a whole—and California in particular—is extremely sensitive to weather-induced demand.  The peak season will be here in about 210 days, and that fact cannot be mitigated or legislated away.  Reserves margins are projected to be short and are not expected to dramatically improve without decisive steps and cooperation among all participants now.  </w:t>
      </w:r>
    </w:p>
    <w:p>
      <w:pPr>
        <w:pStyle w:val="Normal"/>
        <w:spacing w:lineRule="auto" w:line="480"/>
        <w:ind w:firstLine="710" w:end="0"/>
        <w:rPr>
          <w:bCs/>
        </w:rPr>
      </w:pPr>
      <w:r>
        <w:rPr>
          <w:bCs/>
        </w:rPr>
        <w:t>IEP believes that the three central steps that must be taken to correct the marketplace:</w:t>
      </w:r>
    </w:p>
    <w:p>
      <w:pPr>
        <w:pStyle w:val="Normal"/>
        <w:numPr>
          <w:ilvl w:val="0"/>
          <w:numId w:val="4"/>
        </w:numPr>
        <w:spacing w:lineRule="auto" w:line="480"/>
        <w:rPr>
          <w:bCs/>
        </w:rPr>
      </w:pPr>
      <w:r>
        <w:rPr>
          <w:bCs/>
        </w:rPr>
        <w:t xml:space="preserve">First, construction of new supply and enhancement of transmission is long overdue.  </w:t>
      </w:r>
    </w:p>
    <w:p>
      <w:pPr>
        <w:pStyle w:val="Normal"/>
        <w:numPr>
          <w:ilvl w:val="0"/>
          <w:numId w:val="4"/>
        </w:numPr>
        <w:rPr>
          <w:bCs/>
        </w:rPr>
      </w:pPr>
      <w:r>
        <w:rPr>
          <w:bCs/>
        </w:rPr>
        <w:t xml:space="preserve">Second, there must be increased use of forward markets and the associated reduction of reliance upon realtime and spot markets.  </w:t>
      </w:r>
    </w:p>
    <w:p>
      <w:pPr>
        <w:pStyle w:val="Normal"/>
        <w:rPr>
          <w:bCs/>
        </w:rPr>
      </w:pPr>
      <w:r>
        <w:rPr>
          <w:bCs/>
        </w:rPr>
      </w:r>
    </w:p>
    <w:p>
      <w:pPr>
        <w:pStyle w:val="Normal"/>
        <w:numPr>
          <w:ilvl w:val="0"/>
          <w:numId w:val="4"/>
        </w:numPr>
        <w:rPr/>
      </w:pPr>
      <w:r>
        <w:rPr/>
        <w:t xml:space="preserve">Third, there must be concerted effort focused on developing a meaningful and robust retail market with price-responsive demand opportunities.  </w:t>
      </w:r>
    </w:p>
    <w:p>
      <w:pPr>
        <w:pStyle w:val="Normal"/>
        <w:rPr>
          <w:bCs/>
        </w:rPr>
      </w:pPr>
      <w:r>
        <w:rPr>
          <w:bCs/>
        </w:rPr>
      </w:r>
    </w:p>
    <w:p>
      <w:pPr>
        <w:pStyle w:val="Normal"/>
        <w:spacing w:lineRule="auto" w:line="480"/>
        <w:ind w:firstLine="350" w:end="0"/>
        <w:rPr/>
      </w:pPr>
      <w:r>
        <w:rPr>
          <w:bCs/>
        </w:rPr>
        <w:t xml:space="preserve">We </w:t>
      </w:r>
      <w:r>
        <w:rPr/>
        <w:t>applaud</w:t>
      </w:r>
      <w:r>
        <w:rPr>
          <w:bCs/>
        </w:rPr>
        <w:t xml:space="preserve"> the Commission for its courage to begin the process.  IEP suggests a cooperative effort be undertaken with State regulators to ensure the investment climate is improved by creating greater regulatory uncertainty.  While IEP is philosophically opposed to any form of price cap, we would not oppose a temporary, transitional mechanism, provided that it is part of an inter-jurisdictional arrangement which includes:</w:t>
      </w:r>
    </w:p>
    <w:p>
      <w:pPr>
        <w:pStyle w:val="BodyTextIndent"/>
        <w:numPr>
          <w:ilvl w:val="0"/>
          <w:numId w:val="6"/>
        </w:numPr>
        <w:tabs>
          <w:tab w:val="clear" w:pos="720"/>
          <w:tab w:val="left" w:pos="710" w:leader="none"/>
        </w:tabs>
        <w:spacing w:lineRule="auto" w:line="240"/>
        <w:ind w:hanging="360" w:start="710" w:end="0"/>
        <w:rPr/>
      </w:pPr>
      <w:r>
        <w:rPr/>
        <w:t xml:space="preserve">establishment of standards applicable to potential refunds based on specific allegations of market power abuse in FERC jurisdictional markets; </w:t>
      </w:r>
    </w:p>
    <w:p>
      <w:pPr>
        <w:pStyle w:val="BodyTextIndent"/>
        <w:spacing w:lineRule="auto" w:line="240"/>
        <w:ind w:hanging="0" w:start="350" w:end="0"/>
        <w:rPr/>
      </w:pPr>
      <w:r>
        <w:rPr/>
      </w:r>
    </w:p>
    <w:p>
      <w:pPr>
        <w:pStyle w:val="BodyTextIndent"/>
        <w:numPr>
          <w:ilvl w:val="0"/>
          <w:numId w:val="6"/>
        </w:numPr>
        <w:tabs>
          <w:tab w:val="clear" w:pos="720"/>
          <w:tab w:val="left" w:pos="710" w:leader="none"/>
        </w:tabs>
        <w:spacing w:lineRule="auto" w:line="240"/>
        <w:ind w:hanging="360" w:start="710" w:end="0"/>
        <w:rPr/>
      </w:pPr>
      <w:r>
        <w:rPr/>
        <w:t>establishment of mechanisms for “flagging” transactions that will be the subject of reviews for potential refunds, declaring a “safe harbor” for non-flagged transactions, and providing for resolution of any reviews within a reasonable time;</w:t>
      </w:r>
    </w:p>
    <w:p>
      <w:pPr>
        <w:pStyle w:val="BodyTextIndent"/>
        <w:spacing w:lineRule="auto" w:line="360"/>
        <w:ind w:hanging="0" w:start="350" w:end="0"/>
        <w:rPr/>
      </w:pPr>
      <w:r>
        <w:rPr/>
      </w:r>
    </w:p>
    <w:p>
      <w:pPr>
        <w:pStyle w:val="BodyTextIndent"/>
        <w:numPr>
          <w:ilvl w:val="0"/>
          <w:numId w:val="6"/>
        </w:numPr>
        <w:tabs>
          <w:tab w:val="clear" w:pos="720"/>
          <w:tab w:val="left" w:pos="710" w:leader="none"/>
        </w:tabs>
        <w:spacing w:lineRule="auto" w:line="240"/>
        <w:ind w:hanging="360" w:start="710" w:end="0"/>
        <w:rPr/>
      </w:pPr>
      <w:r>
        <w:rPr/>
        <w:t>definition of durable reasonableness review standards applicable to wholesale purchases by the load serving utilities such that they will no longer be discouraged from entering bilateral arrangements on a forward basis;</w:t>
      </w:r>
    </w:p>
    <w:p>
      <w:pPr>
        <w:pStyle w:val="BodyTextIndent"/>
        <w:spacing w:lineRule="auto" w:line="360"/>
        <w:ind w:hanging="0" w:start="350" w:end="0"/>
        <w:rPr/>
      </w:pPr>
      <w:r>
        <w:rPr/>
      </w:r>
    </w:p>
    <w:p>
      <w:pPr>
        <w:pStyle w:val="BodyTextIndent"/>
        <w:numPr>
          <w:ilvl w:val="0"/>
          <w:numId w:val="6"/>
        </w:numPr>
        <w:tabs>
          <w:tab w:val="clear" w:pos="720"/>
          <w:tab w:val="left" w:pos="710" w:leader="none"/>
        </w:tabs>
        <w:spacing w:lineRule="auto" w:line="240"/>
        <w:ind w:hanging="360" w:start="710" w:end="0"/>
        <w:rPr/>
      </w:pPr>
      <w:r>
        <w:rPr/>
        <w:t>establishment of a “road map” by the California Commission that delineates a firm timeline—with milestones—for the review and resolution of retail market issues including market-based demand responsiveness;</w:t>
      </w:r>
    </w:p>
    <w:p>
      <w:pPr>
        <w:pStyle w:val="BodyTextIndent"/>
        <w:spacing w:lineRule="auto" w:line="360"/>
        <w:ind w:hanging="0" w:start="350" w:end="0"/>
        <w:rPr/>
      </w:pPr>
      <w:r>
        <w:rPr/>
      </w:r>
    </w:p>
    <w:p>
      <w:pPr>
        <w:pStyle w:val="BodyTextIndent"/>
        <w:numPr>
          <w:ilvl w:val="0"/>
          <w:numId w:val="6"/>
        </w:numPr>
        <w:tabs>
          <w:tab w:val="clear" w:pos="720"/>
          <w:tab w:val="left" w:pos="710" w:leader="none"/>
        </w:tabs>
        <w:spacing w:lineRule="auto" w:line="240"/>
        <w:ind w:hanging="360" w:start="710" w:end="0"/>
        <w:rPr/>
      </w:pPr>
      <w:r>
        <w:rPr/>
        <w:t>establishment of a “road map” by this Commission, in consultation with the CAISO, that delineates a firm timeline—with milestones—for the review and resolution of implementation issues associated with the Commission’s subsequent order in this docket as well as other outstanding proposals such as generation interconnection rules and congestion management;</w:t>
      </w:r>
    </w:p>
    <w:p>
      <w:pPr>
        <w:pStyle w:val="BodyTextIndent"/>
        <w:spacing w:lineRule="auto" w:line="240"/>
        <w:ind w:hanging="0" w:start="350" w:end="0"/>
        <w:rPr>
          <w:bCs/>
        </w:rPr>
      </w:pPr>
      <w:r>
        <w:rPr>
          <w:bCs/>
        </w:rPr>
      </w:r>
    </w:p>
    <w:p>
      <w:pPr>
        <w:pStyle w:val="BodyTextIndent"/>
        <w:numPr>
          <w:ilvl w:val="0"/>
          <w:numId w:val="6"/>
        </w:numPr>
        <w:tabs>
          <w:tab w:val="clear" w:pos="720"/>
          <w:tab w:val="left" w:pos="710" w:leader="none"/>
        </w:tabs>
        <w:spacing w:lineRule="auto" w:line="240"/>
        <w:ind w:hanging="360" w:start="710" w:end="0"/>
        <w:rPr>
          <w:bCs/>
        </w:rPr>
      </w:pPr>
      <w:r>
        <w:rPr/>
        <w:t>establishment of a firm sunset date, not to exceed 2003, to bound the duration of a soft cap; and,</w:t>
      </w:r>
    </w:p>
    <w:p>
      <w:pPr>
        <w:pStyle w:val="BodyTextIndent"/>
        <w:spacing w:lineRule="auto" w:line="360"/>
        <w:ind w:hanging="0" w:start="350" w:end="0"/>
        <w:rPr>
          <w:bCs/>
        </w:rPr>
      </w:pPr>
      <w:r>
        <w:rPr>
          <w:bCs/>
        </w:rPr>
      </w:r>
    </w:p>
    <w:p>
      <w:pPr>
        <w:pStyle w:val="BodyTextIndent"/>
        <w:numPr>
          <w:ilvl w:val="0"/>
          <w:numId w:val="6"/>
        </w:numPr>
        <w:tabs>
          <w:tab w:val="clear" w:pos="720"/>
          <w:tab w:val="left" w:pos="710" w:leader="none"/>
        </w:tabs>
        <w:spacing w:lineRule="auto" w:line="240"/>
        <w:ind w:hanging="360" w:start="710" w:end="0"/>
        <w:rPr/>
      </w:pPr>
      <w:r>
        <w:rPr/>
        <w:t>implementation of a unidirectional soft cap escalation mechanism, not subject to subsequent lowering, which is based upon a pre-established schedule.</w:t>
      </w:r>
    </w:p>
    <w:p>
      <w:pPr>
        <w:pStyle w:val="BodyTextIndent"/>
        <w:spacing w:lineRule="auto" w:line="360"/>
        <w:ind w:hanging="0" w:start="1080" w:end="0"/>
        <w:rPr/>
      </w:pPr>
      <w:r>
        <w:rPr/>
      </w:r>
    </w:p>
    <w:p>
      <w:pPr>
        <w:pStyle w:val="TOC4"/>
        <w:spacing w:lineRule="auto" w:line="480"/>
        <w:ind w:firstLine="720" w:start="0" w:end="0"/>
        <w:rPr>
          <w:bCs/>
        </w:rPr>
      </w:pPr>
      <w:r>
        <w:rPr/>
        <w:t>IEP and its membership are dedicated to a competitive marketplace in California.  We look forward to working with the Commission and others toward getting California’s markets “back on track.”</w:t>
      </w:r>
    </w:p>
    <w:p>
      <w:pPr>
        <w:pStyle w:val="Normal"/>
        <w:spacing w:lineRule="auto" w:line="480"/>
        <w:rPr/>
      </w:pPr>
      <w:r>
        <w:rPr/>
        <w:t>Dated:  November 22, 2000</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footnotetex"/>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autoSpaceDE w:val="true"/>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i/>
          <w:iCs/>
        </w:rPr>
        <w:t>Electronic Filing</w:t>
      </w:r>
      <w:r>
        <w:rPr/>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22nd day of November, 2000.</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sectPr>
      <w:footerReference w:type="default" r:id="rId6"/>
      <w:footerReference w:type="first" r:id="rId7"/>
      <w:footnotePr>
        <w:numFmt w:val="decimal"/>
      </w:footnotePr>
      <w:type w:val="nextPage"/>
      <w:pgSz w:w="12240" w:h="15840"/>
      <w:pgMar w:left="1440" w:right="1440" w:gutter="0" w:header="0" w:top="1440" w:footer="720" w:bottom="1080"/>
      <w:pgNumType w:start="1"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943600"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p>
                    <w:pPr>
                      <w:pStyle w:val="Footer"/>
                      <w:ind w:end="360"/>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594360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ind w:end="360"/>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rPr/>
      </w:pPr>
      <w:r>
        <w:rPr>
          <w:rStyle w:val="FootnoteCharacters"/>
        </w:rPr>
        <w:footnoteRef/>
      </w:r>
      <w:r>
        <w:rPr/>
        <w:t xml:space="preserve"> </w:t>
      </w:r>
      <w:r>
        <w:rPr/>
        <w:t>IEP believes that its comments are generally responsive to the Chairman’s questions.  However, as IEP is a trade association, it does not have independent data regarding the costs, etc., sought in question 1.  The data we rely upon in these comments comes from those public reports identified elsewhere in the text of the Comments.</w:t>
      </w:r>
    </w:p>
    <w:p>
      <w:pPr>
        <w:pStyle w:val="FootnoteText"/>
        <w:keepLines/>
        <w:rPr/>
      </w:pPr>
      <w:r>
        <w:rPr/>
      </w:r>
    </w:p>
  </w:footnote>
  <w:footnote w:id="3">
    <w:p>
      <w:pPr>
        <w:pStyle w:val="FootnoteText"/>
        <w:rPr/>
      </w:pPr>
      <w:r>
        <w:rPr>
          <w:rStyle w:val="FootnoteCharacters"/>
        </w:rPr>
        <w:footnoteRef/>
      </w:r>
      <w:r>
        <w:rPr/>
        <w:t xml:space="preserve"> </w:t>
      </w:r>
      <w:r>
        <w:rPr>
          <w:u w:val="single"/>
        </w:rPr>
        <w:t>See</w:t>
      </w:r>
      <w:r>
        <w:rPr/>
        <w:t xml:space="preserve">, </w:t>
      </w:r>
      <w:r>
        <w:rPr>
          <w:i/>
          <w:iCs/>
        </w:rPr>
        <w:t>Staff Report to the Federal Energy Regulatory Commission on Western Markets and the Causes of the Summer 2000 Price Abnormalities</w:t>
      </w:r>
      <w:r>
        <w:rPr/>
        <w:t xml:space="preserve">, November 1, 2000 (“FERC Staff Report” or “Staff Report”), Section 5; </w:t>
      </w:r>
      <w:r>
        <w:rPr>
          <w:i/>
          <w:iCs/>
        </w:rPr>
        <w:t>An Analysis of the June 2000 Price Spikes in the California ISO’s Energy and Ancillary Services Markets</w:t>
      </w:r>
      <w:r>
        <w:rPr/>
        <w:t xml:space="preserve">, Market Surveillance Committee of the California Independent System Operator, September 6, 2000 (“MSC Report”); </w:t>
      </w:r>
      <w:r>
        <w:rPr>
          <w:i/>
          <w:iCs/>
        </w:rPr>
        <w:t>Price Movements in California Power Exchange Markets, Analysis of Price Activity: May-September 2000</w:t>
      </w:r>
      <w:r>
        <w:rPr/>
        <w:t xml:space="preserve">, CalPX Compliance Unit, November 1, 2000 (“CalPX CU Report”), Section 3.1 (similar materials were presented by CalPX at the September 11 congressional hearing); </w:t>
      </w:r>
      <w:r>
        <w:rPr>
          <w:u w:val="single"/>
        </w:rPr>
        <w:t>See also</w:t>
      </w:r>
      <w:r>
        <w:rPr>
          <w:i/>
          <w:iCs/>
        </w:rPr>
        <w:t>, Report on California Energy Market Issues and Performance: May-June 2000</w:t>
      </w:r>
      <w:r>
        <w:rPr/>
        <w:t>, Department of Market Analysis, CAISO, August 10, 2000 (“DMA Report”) available at http://www.caiso.com/docs/09003a6080/07/40/09003a6080074029.pdf.</w:t>
      </w:r>
    </w:p>
  </w:footnote>
  <w:footnote w:id="4">
    <w:p>
      <w:pPr>
        <w:pStyle w:val="FootnoteText"/>
        <w:keepLines/>
        <w:rPr/>
      </w:pPr>
      <w:r>
        <w:rPr>
          <w:rStyle w:val="FootnoteCharacters"/>
        </w:rPr>
        <w:footnoteRef/>
      </w:r>
      <w:r>
        <w:rPr/>
        <w:t xml:space="preserve"> </w:t>
      </w:r>
      <w:r>
        <w:rPr>
          <w:u w:val="single"/>
        </w:rPr>
        <w:t>See</w:t>
      </w:r>
      <w:r>
        <w:rPr/>
        <w:t xml:space="preserve">,  November 21, 2000, CAISO memorandum regarding Summer 2001 Loads and Resource Forecast which projects deficiencies. This document is available at http://www.caiso.com/docs/09003a6080/09/e9/ 09003a608009e9f4.pdf.  IEP recognizes that the CEC issued a report on November 20, 2000 intimating that supplies should be sufficient for Summer 2001.  IEP is concerned, however, that that analysis relies upon unverified future energy efficiency and supplies that are not certain to materialize prior to next summer.  </w:t>
      </w:r>
    </w:p>
  </w:footnote>
  <w:footnote w:id="5">
    <w:p>
      <w:pPr>
        <w:pStyle w:val="FootnoteText"/>
        <w:keepLines/>
        <w:rPr/>
      </w:pPr>
      <w:r>
        <w:rPr>
          <w:rStyle w:val="FootnoteCharacters"/>
        </w:rPr>
        <w:footnoteRef/>
      </w:r>
      <w:r>
        <w:rPr/>
        <w:t xml:space="preserve"> </w:t>
      </w:r>
      <w:r>
        <w:rPr/>
        <w:t>November Order, slip at 25.  IEP suggests that an expectation that the market would support large at-risk investments when the new market paradigm is unclear may not be a supportable assertion.</w:t>
      </w:r>
    </w:p>
  </w:footnote>
  <w:footnote w:id="6">
    <w:p>
      <w:pPr>
        <w:pStyle w:val="FootnoteText"/>
        <w:keepLines/>
        <w:rPr/>
      </w:pPr>
      <w:r>
        <w:rPr>
          <w:rStyle w:val="FootnoteCharacters"/>
        </w:rPr>
        <w:footnoteRef/>
      </w:r>
      <w:r>
        <w:rPr/>
        <w:t xml:space="preserve"> </w:t>
      </w:r>
      <w:r>
        <w:rPr/>
        <w:t xml:space="preserve">A listing of projects currently pending before citing agencies is available at www.energy.ca.gov.   </w:t>
      </w:r>
      <w:r>
        <w:rPr>
          <w:u w:val="single"/>
        </w:rPr>
        <w:t>See also</w:t>
      </w:r>
      <w:r>
        <w:rPr/>
        <w:t xml:space="preserve">, Keese, November 9 Transcript at 206:8-ff.  </w:t>
      </w:r>
    </w:p>
  </w:footnote>
  <w:footnote w:id="7">
    <w:p>
      <w:pPr>
        <w:pStyle w:val="FootnoteText"/>
        <w:keepLines/>
        <w:rPr/>
      </w:pPr>
      <w:r>
        <w:rPr>
          <w:rStyle w:val="FootnoteCharacters"/>
        </w:rPr>
        <w:footnoteRef/>
      </w:r>
      <w:r>
        <w:rPr/>
        <w:t xml:space="preserve"> </w:t>
      </w:r>
      <w:r>
        <w:rPr>
          <w:u w:val="single"/>
        </w:rPr>
        <w:t>See, e.g.,</w:t>
      </w:r>
      <w:r>
        <w:rPr/>
        <w:t xml:space="preserve"> Hall, November 9 Statement at page 1 ($1.5 billion over 3-4 years).</w:t>
      </w:r>
    </w:p>
  </w:footnote>
  <w:footnote w:id="8">
    <w:p>
      <w:pPr>
        <w:pStyle w:val="FootnoteText"/>
        <w:keepLines/>
        <w:rPr/>
      </w:pPr>
      <w:r>
        <w:rPr>
          <w:rStyle w:val="FootnoteCharacters"/>
        </w:rPr>
        <w:footnoteRef/>
      </w:r>
      <w:r>
        <w:rPr/>
        <w:t xml:space="preserve"> </w:t>
      </w:r>
      <w:r>
        <w:rPr/>
        <w:t xml:space="preserve">See November 9 Statement of WPTF, page 3; November 9 Statement of Williams, page 2; November 9 CMTA Statement, page 2; November 9 Statement of CAISO, page 2-3; </w:t>
      </w:r>
      <w:r>
        <w:rPr>
          <w:i/>
          <w:iCs/>
        </w:rPr>
        <w:t xml:space="preserve">Fixing What is Broken: What Steps Are Needed to Complete California’s Power Markets?, </w:t>
      </w:r>
      <w:r>
        <w:rPr/>
        <w:t xml:space="preserve">S. Adamson, C. Imparato, October 20, 2000, filed in EL00-95, et al. (“Enron Whitepaper”).   </w:t>
      </w:r>
    </w:p>
  </w:footnote>
  <w:footnote w:id="9">
    <w:p>
      <w:pPr>
        <w:pStyle w:val="FootnoteText"/>
        <w:keepLines/>
        <w:rPr/>
      </w:pPr>
      <w:r>
        <w:rPr>
          <w:rStyle w:val="FootnoteCharacters"/>
        </w:rPr>
        <w:footnoteRef/>
      </w:r>
      <w:r>
        <w:rPr/>
        <w:t xml:space="preserve"> </w:t>
      </w:r>
      <w:r>
        <w:rPr>
          <w:i/>
          <w:iCs/>
        </w:rPr>
        <w:t>Cf.</w:t>
      </w:r>
      <w:r>
        <w:rPr/>
        <w:t xml:space="preserve"> PG&amp;E’s October 27, 2000 filing in FERC Docket EC96-19-056 lodging CPUC Decision 00-08-023 granting authority to enter bilateral forward transactions.  FERC RIMS Document ID 2103057.</w:t>
      </w:r>
    </w:p>
  </w:footnote>
  <w:footnote w:id="10">
    <w:p>
      <w:pPr>
        <w:pStyle w:val="FootnoteText"/>
        <w:rPr/>
      </w:pPr>
      <w:r>
        <w:rPr>
          <w:rStyle w:val="FootnoteCharacters"/>
        </w:rPr>
        <w:footnoteRef/>
      </w:r>
      <w:r>
        <w:rPr/>
        <w:t xml:space="preserve"> </w:t>
      </w:r>
      <w:r>
        <w:rPr/>
        <w:t>IEP does not comment on whether a 5% deviation band would be appropriate.  We believe that under certain weather conditions the ability to accurately forecast and schedule loads for any given period within 5% may be extremely difficult.  See also, Fielder, November 9 Transcript at 286.</w:t>
      </w:r>
    </w:p>
  </w:footnote>
  <w:footnote w:id="11">
    <w:p>
      <w:pPr>
        <w:pStyle w:val="FootnoteText"/>
        <w:rPr/>
      </w:pPr>
      <w:r>
        <w:rPr>
          <w:rStyle w:val="FootnoteCharacters"/>
        </w:rPr>
        <w:footnoteRef/>
      </w:r>
      <w:r>
        <w:rPr/>
        <w:t xml:space="preserve"> </w:t>
      </w:r>
      <w:r>
        <w:rPr>
          <w:u w:val="single"/>
        </w:rPr>
        <w:t>See</w:t>
      </w:r>
      <w:r>
        <w:rPr/>
        <w:t>, Winter, September 12 Transcript at 176:14-16 (“If you get forward contracting done at proper levels you wont’ have underscheduling problems.”)</w:t>
      </w:r>
    </w:p>
    <w:p>
      <w:pPr>
        <w:pStyle w:val="FootnoteText"/>
        <w:rPr/>
      </w:pPr>
      <w:r>
        <w:rPr/>
      </w:r>
    </w:p>
  </w:footnote>
  <w:footnote w:id="12">
    <w:p>
      <w:pPr>
        <w:pStyle w:val="FootnoteText"/>
        <w:keepLines/>
        <w:rPr/>
      </w:pPr>
      <w:r>
        <w:rPr>
          <w:rStyle w:val="FootnoteCharacters"/>
        </w:rPr>
        <w:footnoteRef/>
      </w:r>
      <w:r>
        <w:rPr/>
        <w:t xml:space="preserve"> </w:t>
      </w:r>
      <w:r>
        <w:rPr>
          <w:u w:val="single"/>
        </w:rPr>
        <w:t>See</w:t>
      </w:r>
      <w:r>
        <w:rPr/>
        <w:t xml:space="preserve">, November 9 Statement of AES, page 3 and attachment; Ryan, November 9 Transcript at page 327:24-328:24. </w:t>
      </w:r>
    </w:p>
  </w:footnote>
  <w:footnote w:id="13">
    <w:p>
      <w:pPr>
        <w:pStyle w:val="FootnoteText"/>
        <w:keepLines/>
        <w:rPr/>
      </w:pPr>
      <w:r>
        <w:rPr>
          <w:rStyle w:val="FootnoteCharacters"/>
        </w:rPr>
        <w:footnoteRef/>
      </w:r>
      <w:r>
        <w:rPr/>
        <w:t xml:space="preserve"> </w:t>
      </w:r>
      <w:r>
        <w:rPr/>
        <w:t>CAISO declared a number of additional emergencies begging November 13,.  See, http://www.caiso.com/newsroom/releases/.</w:t>
      </w:r>
    </w:p>
  </w:footnote>
  <w:footnote w:id="14">
    <w:p>
      <w:pPr>
        <w:pStyle w:val="FootnoteText"/>
        <w:rPr/>
      </w:pPr>
      <w:r>
        <w:rPr>
          <w:rStyle w:val="FootnoteCharacters"/>
        </w:rPr>
        <w:footnoteRef/>
      </w:r>
      <w:r>
        <w:rPr/>
        <w:t xml:space="preserve"> </w:t>
      </w:r>
      <w:r>
        <w:rPr/>
        <w:t xml:space="preserve">The issue of load growth was addressed at the September 11 hearings.  We also note that PG&amp;E cited significant distribution level load growth as a justification for its recent retail rate increases.   </w:t>
      </w:r>
      <w:r>
        <w:rPr>
          <w:u w:val="single"/>
        </w:rPr>
        <w:t>See</w:t>
      </w:r>
      <w:r>
        <w:rPr/>
        <w:t xml:space="preserve">, CPUC Decision 00-02-046, January 17, 2000.  Available at http://www.cpuc.ca.gov/WORD_PDF/FINAL_DECISION/461.doc. </w:t>
      </w:r>
    </w:p>
  </w:footnote>
  <w:footnote w:id="15">
    <w:p>
      <w:pPr>
        <w:pStyle w:val="FootnoteText"/>
        <w:rPr/>
      </w:pPr>
      <w:r>
        <w:rPr>
          <w:rStyle w:val="FootnoteCharacters"/>
        </w:rPr>
        <w:footnoteRef/>
      </w:r>
      <w:r>
        <w:rPr/>
        <w:t xml:space="preserve"> </w:t>
      </w:r>
      <w:r>
        <w:rPr>
          <w:u w:val="single"/>
        </w:rPr>
        <w:t>See</w:t>
      </w:r>
      <w:r>
        <w:rPr/>
        <w:t>, 70 FERC ¶61,215 (1995).</w:t>
      </w:r>
    </w:p>
  </w:footnote>
  <w:footnote w:id="16">
    <w:p>
      <w:pPr>
        <w:pStyle w:val="FootnoteText"/>
        <w:rPr/>
      </w:pPr>
      <w:r>
        <w:rPr>
          <w:rStyle w:val="FootnoteCharacters"/>
        </w:rPr>
        <w:footnoteRef/>
      </w:r>
      <w:r>
        <w:rPr/>
        <w:t xml:space="preserve"> </w:t>
      </w:r>
      <w:r>
        <w:rPr/>
        <w:t>IBID.</w:t>
      </w:r>
    </w:p>
  </w:footnote>
  <w:footnote w:id="17">
    <w:p>
      <w:pPr>
        <w:pStyle w:val="FootnoteText"/>
        <w:keepLines/>
        <w:rPr/>
      </w:pPr>
      <w:r>
        <w:rPr>
          <w:rStyle w:val="FootnoteCharacters"/>
        </w:rPr>
        <w:footnoteRef/>
      </w:r>
      <w:r>
        <w:rPr/>
        <w:t xml:space="preserve"> </w:t>
      </w:r>
      <w:r>
        <w:rPr/>
        <w:t>This was noted by Keese on November 9, as well as September 11 testimony from the CEC.</w:t>
      </w:r>
    </w:p>
  </w:footnote>
  <w:footnote w:id="18">
    <w:p>
      <w:pPr>
        <w:pStyle w:val="FootnoteText"/>
        <w:keepLines/>
        <w:rPr/>
      </w:pPr>
      <w:r>
        <w:rPr>
          <w:rStyle w:val="FootnoteCharacters"/>
        </w:rPr>
        <w:footnoteRef/>
      </w:r>
      <w:r>
        <w:rPr/>
        <w:t xml:space="preserve"> </w:t>
      </w:r>
      <w:r>
        <w:rPr/>
        <w:t xml:space="preserve">See November 9 Transcript, 39:20 – 40:21.    </w:t>
      </w:r>
    </w:p>
  </w:footnote>
  <w:footnote w:id="19">
    <w:p>
      <w:pPr>
        <w:pStyle w:val="FootnoteText"/>
        <w:rPr/>
      </w:pPr>
      <w:r>
        <w:rPr>
          <w:rStyle w:val="FootnoteCharacters"/>
        </w:rPr>
        <w:footnoteRef/>
      </w:r>
      <w:r>
        <w:rPr/>
        <w:t xml:space="preserve"> </w:t>
      </w:r>
      <w:r>
        <w:rPr/>
        <w:t xml:space="preserve">This has been suggested a number of times, including at the September 12 hearing by Roderick Wright.  </w:t>
      </w:r>
      <w:r>
        <w:rPr>
          <w:u w:val="single"/>
        </w:rPr>
        <w:t>See also</w:t>
      </w:r>
      <w:r>
        <w:rPr/>
        <w:t xml:space="preserve">, November Order at 22. </w:t>
      </w:r>
    </w:p>
  </w:footnote>
  <w:footnote w:id="20">
    <w:p>
      <w:pPr>
        <w:pStyle w:val="FootnoteText"/>
        <w:keepLines/>
        <w:rPr/>
      </w:pPr>
      <w:r>
        <w:rPr>
          <w:rStyle w:val="FootnoteCharacters"/>
        </w:rPr>
        <w:footnoteRef/>
      </w:r>
      <w:r>
        <w:rPr/>
        <w:t xml:space="preserve"> </w:t>
      </w:r>
      <w:r>
        <w:rPr/>
        <w:t xml:space="preserve">IEP continues to be troubled by the inaccurate portrayal of the utilities as “victims” of AB 1890.  </w:t>
      </w:r>
      <w:r>
        <w:rPr>
          <w:i/>
          <w:iCs/>
        </w:rPr>
        <w:t xml:space="preserve">The utilities were not </w:t>
      </w:r>
      <w:r>
        <w:rPr>
          <w:i/>
          <w:iCs/>
          <w:u w:val="single"/>
        </w:rPr>
        <w:t>ordered</w:t>
      </w:r>
      <w:r>
        <w:rPr>
          <w:i/>
          <w:iCs/>
        </w:rPr>
        <w:t xml:space="preserve"> to divest resources</w:t>
      </w:r>
      <w:r>
        <w:rPr/>
        <w:t xml:space="preserve">.  Neither AB 1890 or the CPUC ordered such as result.  The utilities were provided incentives to divest those resources, </w:t>
      </w:r>
      <w:r>
        <w:rPr>
          <w:i/>
          <w:iCs/>
        </w:rPr>
        <w:t>and they voluntarily chose to sell their assets</w:t>
      </w:r>
      <w:r>
        <w:rPr/>
        <w:t>.  They exercised that choice willingly and directly profited from their decisions.  While inaccurate press accounts can be excused to some degree, FERC should not continue this inaccuracy.  Besides being wrong on its face, the perpetuation of this falsehood provides the utilities a form of “political cover” that is a disservice to the California Legislature and the current Administration.  See CPUC “Preferred Policy Decision” (“PPD”) Decision 95-12-063, 64 CPUC2d 1, 54.</w:t>
      </w:r>
    </w:p>
  </w:footnote>
  <w:footnote w:id="21">
    <w:p>
      <w:pPr>
        <w:pStyle w:val="FootnoteText"/>
        <w:rPr/>
      </w:pPr>
      <w:r>
        <w:rPr>
          <w:rStyle w:val="FootnoteCharacters"/>
        </w:rPr>
        <w:footnoteRef/>
      </w:r>
      <w:r>
        <w:rPr/>
        <w:t xml:space="preserve"> </w:t>
      </w:r>
      <w:r>
        <w:rPr/>
        <w:t xml:space="preserve">While there is at least a theoretical split of jurisdictional control over the buy/sell requirement, IEP notes that materials released at the November 21, 2000 CPUC meeting indicate a willingness to remove this impediment by a current majority of the CPUC.  </w:t>
      </w:r>
      <w:r>
        <w:rPr>
          <w:u w:val="single"/>
        </w:rPr>
        <w:t>See</w:t>
      </w:r>
      <w:r>
        <w:rPr/>
        <w:t xml:space="preserve">, http://www.cpuc.ca.gov/static/Comm_Exc/Duque/energy/ 001121_ferc_report.htm.  </w:t>
      </w:r>
    </w:p>
  </w:footnote>
  <w:footnote w:id="22">
    <w:p>
      <w:pPr>
        <w:pStyle w:val="FootnoteText"/>
        <w:rPr/>
      </w:pPr>
      <w:r>
        <w:rPr>
          <w:rStyle w:val="FootnoteCharacters"/>
        </w:rPr>
        <w:footnoteRef/>
      </w:r>
      <w:r>
        <w:rPr/>
        <w:t xml:space="preserve"> </w:t>
      </w:r>
      <w:r>
        <w:rPr/>
        <w:t>Legislative changes will be required to allow the utilities to purchase from exchanges other than the CalPX.</w:t>
      </w:r>
    </w:p>
  </w:footnote>
  <w:footnote w:id="23">
    <w:p>
      <w:pPr>
        <w:pStyle w:val="FootnoteText"/>
        <w:rPr/>
      </w:pPr>
      <w:r>
        <w:rPr>
          <w:rStyle w:val="FootnoteCharacters"/>
        </w:rPr>
        <w:footnoteRef/>
      </w:r>
      <w:r>
        <w:rPr/>
        <w:t xml:space="preserve"> </w:t>
      </w:r>
      <w:r>
        <w:rPr/>
        <w:t>See November 9 testimony of Fielder and Hapner.</w:t>
      </w:r>
    </w:p>
  </w:footnote>
  <w:footnote w:id="24">
    <w:p>
      <w:pPr>
        <w:pStyle w:val="FootnoteText"/>
        <w:rPr/>
      </w:pPr>
      <w:r>
        <w:rPr>
          <w:rStyle w:val="FootnoteCharacters"/>
        </w:rPr>
        <w:footnoteRef/>
      </w:r>
      <w:r>
        <w:rPr/>
        <w:t xml:space="preserve"> </w:t>
      </w:r>
      <w:r>
        <w:rPr/>
        <w:t xml:space="preserve">See November 9 testimony of Sladoje and Transcript at 280:13 – 281:9; </w:t>
      </w:r>
      <w:r>
        <w:rPr>
          <w:u w:val="single"/>
        </w:rPr>
        <w:t>See</w:t>
      </w:r>
      <w:r>
        <w:rPr/>
        <w:t xml:space="preserve"> </w:t>
      </w:r>
      <w:r>
        <w:rPr>
          <w:u w:val="single"/>
        </w:rPr>
        <w:t>also</w:t>
      </w:r>
      <w:r>
        <w:rPr/>
        <w:t xml:space="preserve"> Ackerman, November 9 Transcript at 275:19 – 277: 7.</w:t>
      </w:r>
    </w:p>
  </w:footnote>
  <w:footnote w:id="25">
    <w:p>
      <w:pPr>
        <w:pStyle w:val="FootnoteText"/>
        <w:rPr/>
      </w:pPr>
      <w:r>
        <w:rPr>
          <w:rStyle w:val="FootnoteCharacters"/>
        </w:rPr>
        <w:footnoteRef/>
      </w:r>
      <w:r>
        <w:rPr/>
        <w:t xml:space="preserve"> </w:t>
      </w:r>
      <w:r>
        <w:rPr/>
        <w:t>PPD, 64 CPUC2d 1, 29.  The CPUC’s initial five year period was subsequent truncated by AB 1890.</w:t>
      </w:r>
    </w:p>
  </w:footnote>
  <w:footnote w:id="26">
    <w:p>
      <w:pPr>
        <w:pStyle w:val="FootnoteText"/>
        <w:keepLines/>
        <w:rPr/>
      </w:pPr>
      <w:r>
        <w:rPr>
          <w:rStyle w:val="FootnoteCharacters"/>
        </w:rPr>
        <w:footnoteRef/>
      </w:r>
      <w:r>
        <w:rPr/>
        <w:t xml:space="preserve"> </w:t>
      </w:r>
      <w:r>
        <w:rPr/>
        <w:t>The total retail rate was frozen, but rate elements within that total—such as distribution and transmission components—have changed during the rate freeze period.  The net effect of such changes, such as PG&amp;E’s 19.7% February 2000 retail rate increase, is the “squeeze” of the component in rates attributed to commodity costs.  Hence, some of the current utility commodity cost undercollection is the product of the reduction of that fraction of retail rates dedicated to those types of “generation” or commodity costs.</w:t>
      </w:r>
    </w:p>
  </w:footnote>
  <w:footnote w:id="27">
    <w:p>
      <w:pPr>
        <w:pStyle w:val="FootnoteText"/>
        <w:keepLines/>
        <w:rPr/>
      </w:pPr>
      <w:r>
        <w:rPr>
          <w:rStyle w:val="FootnoteCharacters"/>
        </w:rPr>
        <w:footnoteRef/>
      </w:r>
      <w:r>
        <w:rPr/>
        <w:t xml:space="preserve"> </w:t>
      </w:r>
      <w:r>
        <w:rPr/>
        <w:t xml:space="preserve">This blended retail rate reflects utility purchasing decisions and the proportion of supply secured from the CalPX forward markets (including the Day-Ahead and Day-Of markets), was well as the proportion of supply purchased in the CAISO’s imbalance market and the costs of ancillary services associated with the deliveries.  Because accounting for imbalance energy and ancillary Services requires customer meter data, costs for those portions of the commodity are reflected in retail customers’ bills approximately 3 months after the delivery month.   See, e.g., “Schedule PX” http://www.sce.com/billingsca/rates/tariff/pdf/ce146-12.pdf (for Edison) and http://www.pge.com/customer_services/business/tariffs/pdf/PX.pdf (for PG&amp;E).  Customers who secure supply from competitive providers are currently credited this portion of the frozen retail rate.  </w:t>
      </w:r>
    </w:p>
  </w:footnote>
  <w:footnote w:id="28">
    <w:p>
      <w:pPr>
        <w:pStyle w:val="FootnoteText"/>
        <w:keepLines/>
        <w:rPr/>
      </w:pPr>
      <w:r>
        <w:rPr>
          <w:rStyle w:val="FootnoteCharacters"/>
        </w:rPr>
        <w:footnoteRef/>
      </w:r>
      <w:r>
        <w:rPr/>
        <w:t xml:space="preserve"> </w:t>
      </w:r>
      <w:r>
        <w:rPr/>
        <w:t xml:space="preserve">The mechanics were explained at the September 12 hearing by Terry Winter.  </w:t>
      </w:r>
      <w:r>
        <w:rPr>
          <w:u w:val="single"/>
        </w:rPr>
        <w:t>See also</w:t>
      </w:r>
      <w:r>
        <w:rPr/>
        <w:t>, Enron Whitepaper, page 28-31.</w:t>
      </w:r>
    </w:p>
  </w:footnote>
  <w:footnote w:id="29">
    <w:p>
      <w:pPr>
        <w:pStyle w:val="FootnoteText"/>
        <w:rPr/>
      </w:pPr>
      <w:r>
        <w:rPr>
          <w:rStyle w:val="FootnoteCharacters"/>
        </w:rPr>
        <w:footnoteRef/>
      </w:r>
      <w:r>
        <w:rPr/>
        <w:t xml:space="preserve"> </w:t>
      </w:r>
      <w:r>
        <w:rPr/>
        <w:t>This was argued by PG&amp;E as partial justification for its distribution rate increase.  See footnote 12, supra.</w:t>
      </w:r>
    </w:p>
  </w:footnote>
  <w:footnote w:id="30">
    <w:p>
      <w:pPr>
        <w:pStyle w:val="FootnoteText"/>
        <w:keepLines/>
        <w:rPr/>
      </w:pPr>
      <w:r>
        <w:rPr>
          <w:rStyle w:val="FootnoteCharacters"/>
        </w:rPr>
        <w:footnoteRef/>
      </w:r>
      <w:r>
        <w:rPr/>
        <w:t xml:space="preserve"> </w:t>
      </w:r>
      <w:r>
        <w:rPr/>
        <w:t>All utilities face the potential for underrecoveries today.  Although SDG&amp;E completed its rate freeze, a capped retail rate was legislatively imposed, as noted at the September 12 hearing.  The current rate design will not allow the utility to recoup supply costs that exceed the capped rate during any lower cost periods.  On November 17, SCE filed with the CPUC a “stabilization plan” that seeks, among other things, a 9.9% rate increase.</w:t>
      </w:r>
    </w:p>
  </w:footnote>
  <w:footnote w:id="31">
    <w:p>
      <w:pPr>
        <w:pStyle w:val="FootnoteText"/>
        <w:keepLines/>
        <w:rPr/>
      </w:pPr>
      <w:r>
        <w:rPr>
          <w:rStyle w:val="FootnoteCharacters"/>
        </w:rPr>
        <w:footnoteRef/>
      </w:r>
      <w:r>
        <w:rPr/>
        <w:t xml:space="preserve"> </w:t>
      </w:r>
      <w:r>
        <w:rPr>
          <w:u w:val="single"/>
        </w:rPr>
        <w:t>See</w:t>
      </w:r>
      <w:r>
        <w:rPr/>
        <w:t xml:space="preserve">, CPUC Decision 99-05-051 in Dockets A.99-02-029, et al, May 27, 1999.  This decision is available at http://www.cpuc.ca.gov/WORD_PDF/FINAL_DECISION/3162.doc.  Note that the decision highlighted ongoing litigation regarding the utility’s role and whether a “commodity PBR” mechanism would be adopted.  </w:t>
      </w:r>
    </w:p>
  </w:footnote>
  <w:footnote w:id="32">
    <w:p>
      <w:pPr>
        <w:pStyle w:val="FootnoteText"/>
        <w:rPr/>
      </w:pPr>
      <w:r>
        <w:rPr>
          <w:rStyle w:val="FootnoteCharacters"/>
        </w:rPr>
        <w:footnoteRef/>
      </w:r>
      <w:r>
        <w:rPr/>
        <w:t xml:space="preserve"> </w:t>
      </w:r>
      <w:r>
        <w:rPr/>
        <w:t>While customer choice via the retail “direct access” market existed in theory, fundamental design flaws essentially precluded development of robust competition and customer choice during the rate freeze period.  The CPUC’s PPD anticipated a gradual phase in of customer choice over a five year period beginning with the larger customers.  See 64 CPUC2d 1, 43.  This graduated approach, along with realtime metering and pricing (64 CPUC2d 1, 47) was altered by AB 1890.</w:t>
      </w:r>
    </w:p>
    <w:p>
      <w:pPr>
        <w:pStyle w:val="FootnoteText"/>
        <w:rPr/>
      </w:pPr>
      <w:r>
        <w:rPr/>
      </w:r>
    </w:p>
  </w:footnote>
  <w:footnote w:id="33">
    <w:p>
      <w:pPr>
        <w:pStyle w:val="FootnoteText"/>
        <w:keepLines/>
        <w:rPr>
          <w:u w:val="single"/>
        </w:rPr>
      </w:pPr>
      <w:r>
        <w:rPr>
          <w:rStyle w:val="FootnoteCharacters"/>
        </w:rPr>
        <w:footnoteRef/>
      </w:r>
      <w:r>
        <w:rPr/>
        <w:t xml:space="preserve"> </w:t>
      </w:r>
      <w:r>
        <w:rPr/>
        <w:t xml:space="preserve">The “perfectly competitive market” is a theoretical economic construct that cannot exist in the real world.  While it may be an unattainable goal, the Commission should be exceedingly wary of efforts which purport to measure the deviation between the current market conditions and that of a “perfectly competitive” model, particularly where such asserted deviations are the grounds upon which allegations of market power abuses rest.  As noted in the November 9, 2000, Statement of John Stout, enterprises that are only paid their marginal costs will fail.  </w:t>
      </w:r>
    </w:p>
    <w:p>
      <w:pPr>
        <w:pStyle w:val="FootnoteText"/>
        <w:keepLines/>
        <w:rPr>
          <w:u w:val="single"/>
        </w:rPr>
      </w:pPr>
      <w:r>
        <w:rPr>
          <w:u w:val="single"/>
        </w:rPr>
      </w:r>
    </w:p>
  </w:footnote>
  <w:footnote w:id="34">
    <w:p>
      <w:pPr>
        <w:pStyle w:val="FootnoteText"/>
        <w:keepLines/>
        <w:rPr/>
      </w:pPr>
      <w:r>
        <w:rPr>
          <w:rStyle w:val="FootnoteCharacters"/>
        </w:rPr>
        <w:footnoteRef/>
      </w:r>
      <w:r>
        <w:rPr/>
        <w:t xml:space="preserve"> </w:t>
      </w:r>
      <w:r>
        <w:rPr/>
        <w:t>IEP recognizes that the November 17 Order requests suggestions on how such a refund analysis and methodology could be undertaken.  We respectfully submit that the complexities inherent in such an exercise—even if undertaken for a single hour of a single trading day—would implicate multiple transactions, markets and parties.  Any efforts to create such a model necessarily require some form of technical conference to ensure a workable mechanism that can be undertaken over a reasonable time period.  But more problematic is the likelihood that such an effort to untangle market transactions with the intention of altering outcome would trigger a wave of secondary litigation particularly as to entities not subject to FERC’s jurisdiction.</w:t>
      </w:r>
    </w:p>
  </w:footnote>
  <w:footnote w:id="35">
    <w:p>
      <w:pPr>
        <w:pStyle w:val="FootnoteText"/>
        <w:rPr/>
      </w:pPr>
      <w:r>
        <w:rPr>
          <w:rStyle w:val="FootnoteCharacters"/>
        </w:rPr>
        <w:footnoteRef/>
      </w:r>
      <w:r>
        <w:rPr/>
        <w:t xml:space="preserve"> </w:t>
      </w:r>
      <w:r>
        <w:rPr/>
        <w:t xml:space="preserve">See Staff Report at 5-17.  This is consistent with prior Commission cases such as </w:t>
      </w:r>
      <w:r>
        <w:rPr>
          <w:i/>
          <w:iCs/>
        </w:rPr>
        <w:t>Citizens Power &amp; Light Corp.</w:t>
      </w:r>
      <w:r>
        <w:rPr/>
        <w:t xml:space="preserve">, 48 FERC ¶61,210. (1989) and its progeny.  </w:t>
      </w:r>
    </w:p>
  </w:footnote>
  <w:footnote w:id="36">
    <w:p>
      <w:pPr>
        <w:pStyle w:val="FootnoteText"/>
        <w:rPr/>
      </w:pPr>
      <w:r>
        <w:rPr>
          <w:rStyle w:val="FootnoteCharacters"/>
        </w:rPr>
        <w:footnoteRef/>
      </w:r>
      <w:r>
        <w:rPr/>
        <w:t xml:space="preserve"> </w:t>
      </w:r>
      <w:r>
        <w:rPr/>
        <w:t xml:space="preserve">For an explanation and critique of the flaws to this argument, </w:t>
      </w:r>
      <w:r>
        <w:rPr>
          <w:u w:val="single"/>
        </w:rPr>
        <w:t>see</w:t>
      </w:r>
      <w:r>
        <w:rPr/>
        <w:t xml:space="preserve">, </w:t>
      </w:r>
      <w:r>
        <w:rPr>
          <w:i/>
          <w:iCs/>
        </w:rPr>
        <w:t>Issues in the Analysis of Market Power in California</w:t>
      </w:r>
      <w:r>
        <w:rPr/>
        <w:t xml:space="preserve">, S. Harvey and W. Hogan, October 27, 2000, filed in EL00-95, et al, on October 31, 2000 as attachment to </w:t>
      </w:r>
      <w:r>
        <w:rPr>
          <w:i/>
          <w:iCs/>
        </w:rPr>
        <w:t>Answer of Southern Energy California, L.L.C., Southern Energy Potrero, L.L.C., and Southern Energy Delta, L.L.C., To Motion for Emergency Relief and Answer Thereto.</w:t>
      </w:r>
    </w:p>
  </w:footnote>
  <w:footnote w:id="37">
    <w:p>
      <w:pPr>
        <w:pStyle w:val="FootnoteText"/>
        <w:rPr/>
      </w:pPr>
      <w:r>
        <w:rPr>
          <w:rStyle w:val="FootnoteCharacters"/>
        </w:rPr>
        <w:footnoteRef/>
      </w:r>
      <w:r>
        <w:rPr/>
        <w:t xml:space="preserve"> </w:t>
      </w:r>
      <w:r>
        <w:rPr>
          <w:u w:val="single"/>
        </w:rPr>
        <w:t>See</w:t>
      </w:r>
      <w:r>
        <w:rPr/>
        <w:t xml:space="preserve">, Staff Report 3-25 – 3-27, 6-12 (“The existing ISO buyer’s cap appears too low.”). </w:t>
      </w:r>
    </w:p>
  </w:footnote>
  <w:footnote w:id="38">
    <w:p>
      <w:pPr>
        <w:pStyle w:val="FootnoteText"/>
        <w:rPr/>
      </w:pPr>
      <w:r>
        <w:rPr>
          <w:rStyle w:val="FootnoteCharacters"/>
        </w:rPr>
        <w:footnoteRef/>
      </w:r>
      <w:r>
        <w:rPr/>
        <w:t xml:space="preserve"> </w:t>
      </w:r>
      <w:r>
        <w:rPr/>
        <w:t xml:space="preserve">This point was discussed at length on November 9; </w:t>
      </w:r>
      <w:r>
        <w:rPr>
          <w:u w:val="single"/>
        </w:rPr>
        <w:t>See also,</w:t>
      </w:r>
      <w:r>
        <w:rPr/>
        <w:t xml:space="preserve"> November 9 Statement of John Stout. </w:t>
      </w:r>
    </w:p>
  </w:footnote>
  <w:footnote w:id="39">
    <w:p>
      <w:pPr>
        <w:pStyle w:val="FootnoteText"/>
        <w:rPr/>
      </w:pPr>
      <w:r>
        <w:rPr>
          <w:rStyle w:val="FootnoteCharacters"/>
        </w:rPr>
        <w:footnoteRef/>
      </w:r>
      <w:r>
        <w:rPr/>
        <w:t xml:space="preserve"> </w:t>
      </w:r>
      <w:r>
        <w:rPr/>
        <w:t>Notwithstanding the apparent opinion of SMUD otherwise (November 9 Transcript at 349:23-ff.), there are demands which materialize only for a fraction of a percentage of the total hours of a year, and therefore some resources will only be dispatched a short number of hours to meet that need.  These resources tend to be fast ramping, less efficient units that are not designed or intended to operate as “baseload” facilities.  Hence the suggestion that they “just operate more” to recover their costs is misplaced.</w:t>
      </w:r>
    </w:p>
  </w:footnote>
  <w:footnote w:id="40">
    <w:p>
      <w:pPr>
        <w:pStyle w:val="FootnoteText"/>
        <w:rPr/>
      </w:pPr>
      <w:r>
        <w:rPr>
          <w:rStyle w:val="FootnoteCharacters"/>
        </w:rPr>
        <w:footnoteRef/>
      </w:r>
      <w:r>
        <w:rPr/>
        <w:t xml:space="preserve"> </w:t>
      </w:r>
      <w:r>
        <w:rPr>
          <w:u w:val="single"/>
        </w:rPr>
        <w:t>See</w:t>
      </w:r>
      <w:r>
        <w:rPr/>
        <w:t>, November 9 Enron testimony.</w:t>
      </w:r>
    </w:p>
  </w:footnote>
  <w:footnote w:id="41">
    <w:p>
      <w:pPr>
        <w:pStyle w:val="FootnoteText"/>
        <w:rPr/>
      </w:pPr>
      <w:r>
        <w:rPr>
          <w:rStyle w:val="FootnoteCharacters"/>
        </w:rPr>
        <w:footnoteRef/>
      </w:r>
      <w:r>
        <w:rPr/>
        <w:t xml:space="preserve"> </w:t>
      </w:r>
      <w:r>
        <w:rPr>
          <w:u w:val="single"/>
        </w:rPr>
        <w:t>See</w:t>
      </w:r>
      <w:r>
        <w:rPr/>
        <w:t xml:space="preserve">, Winter, November 9 Transcript: 36:6-22.  </w:t>
      </w:r>
    </w:p>
  </w:footnote>
  <w:footnote w:id="42">
    <w:p>
      <w:pPr>
        <w:pStyle w:val="FootnoteText"/>
        <w:rPr/>
      </w:pPr>
      <w:r>
        <w:rPr>
          <w:rStyle w:val="FootnoteCharacters"/>
        </w:rPr>
        <w:footnoteRef/>
      </w:r>
      <w:r>
        <w:rPr/>
        <w:t xml:space="preserve"> </w:t>
      </w:r>
      <w:r>
        <w:rPr>
          <w:u w:val="single"/>
        </w:rPr>
        <w:t>See</w:t>
      </w:r>
      <w:r>
        <w:rPr/>
        <w:t xml:space="preserve">, Hobbs, November 9 Transcript at 93:16 – 94:3, 147:24 – 148:22.  </w:t>
      </w:r>
    </w:p>
  </w:footnote>
  <w:footnote w:id="43">
    <w:p>
      <w:pPr>
        <w:pStyle w:val="FootnoteText"/>
        <w:rPr/>
      </w:pPr>
      <w:r>
        <w:rPr>
          <w:rStyle w:val="FootnoteCharacters"/>
        </w:rPr>
        <w:footnoteRef/>
      </w:r>
      <w:r>
        <w:rPr/>
        <w:t xml:space="preserve"> </w:t>
      </w:r>
      <w:r>
        <w:rPr/>
        <w:t>IEP simply notes the very rapid and vocal opposition to the LDPCs filed at FERC in this docket after the CAISO Board adopted the proposal.  This was rejected by the Commission in the November Order.</w:t>
      </w:r>
    </w:p>
  </w:footnote>
  <w:footnote w:id="44">
    <w:p>
      <w:pPr>
        <w:pStyle w:val="FootnoteText"/>
        <w:rPr/>
      </w:pPr>
      <w:r>
        <w:rPr>
          <w:rStyle w:val="FootnoteCharacters"/>
        </w:rPr>
        <w:footnoteRef/>
      </w:r>
      <w:r>
        <w:rPr/>
        <w:t xml:space="preserve"> </w:t>
      </w:r>
      <w:r>
        <w:rPr/>
        <w:t>Florio testimony at November 9 hearing.</w:t>
      </w:r>
    </w:p>
  </w:footnote>
  <w:footnote w:id="45">
    <w:p>
      <w:pPr>
        <w:pStyle w:val="FootnoteText"/>
        <w:rPr/>
      </w:pPr>
      <w:r>
        <w:rPr>
          <w:rStyle w:val="FootnoteCharacters"/>
        </w:rPr>
        <w:footnoteRef/>
      </w:r>
      <w:r>
        <w:rPr/>
        <w:t xml:space="preserve"> </w:t>
      </w:r>
      <w:r>
        <w:rPr>
          <w:u w:val="single"/>
        </w:rPr>
        <w:t>See</w:t>
      </w:r>
      <w:r>
        <w:rPr/>
        <w:t>, footnote 21 citing November 9 testimony of Sladoje and Ackerman.</w:t>
      </w:r>
    </w:p>
  </w:footnote>
  <w:footnote w:id="46">
    <w:p>
      <w:pPr>
        <w:pStyle w:val="FootnoteText"/>
        <w:keepLines/>
        <w:rPr/>
      </w:pPr>
      <w:r>
        <w:rPr>
          <w:rStyle w:val="FootnoteCharacters"/>
        </w:rPr>
        <w:footnoteRef/>
      </w:r>
      <w:r>
        <w:rPr/>
        <w:t xml:space="preserve"> </w:t>
      </w:r>
      <w:r>
        <w:rPr/>
        <w:t xml:space="preserve">IEP notes that a number of “peaker projects” that were proposed in response to an CAISO solicitation were ultimately withdrawn for a variety of reasons, including regulatory uncertainty, and the inability to navigate a permitting process quickly enough.  </w:t>
      </w:r>
      <w:r>
        <w:rPr>
          <w:u w:val="single"/>
        </w:rPr>
        <w:t>See</w:t>
      </w:r>
      <w:r>
        <w:rPr/>
        <w:t>, November 21, 2000 Dow Jones article, “Peaking Generation in California Dwindling for Summer.”  In this regard, and to the extent recent state legislation was intended to address capacity needs for the Summer of 2001, it is not appropriate to consider the “expedited” permitting process created by AB 970 an unmitigated success.</w:t>
      </w:r>
    </w:p>
    <w:p>
      <w:pPr>
        <w:pStyle w:val="FootnoteText"/>
        <w:keepLines/>
        <w:rPr/>
      </w:pPr>
      <w:r>
        <w:rPr/>
      </w:r>
    </w:p>
  </w:footnote>
  <w:footnote w:id="47">
    <w:p>
      <w:pPr>
        <w:pStyle w:val="FootnoteText"/>
        <w:rPr/>
      </w:pPr>
      <w:r>
        <w:rPr>
          <w:rStyle w:val="FootnoteCharacters"/>
        </w:rPr>
        <w:footnoteRef/>
      </w:r>
      <w:r>
        <w:rPr/>
        <w:t xml:space="preserve"> </w:t>
      </w:r>
      <w:r>
        <w:rPr>
          <w:u w:val="single"/>
        </w:rPr>
        <w:t>See</w:t>
      </w:r>
      <w:r>
        <w:rPr/>
        <w:t>, Fielder testimony November 9, Transcript at 291.</w:t>
      </w:r>
    </w:p>
  </w:footnote>
  <w:footnote w:id="48">
    <w:p>
      <w:pPr>
        <w:pStyle w:val="FootnoteText"/>
        <w:rPr/>
      </w:pPr>
      <w:r>
        <w:rPr>
          <w:rStyle w:val="FootnoteCharacters"/>
        </w:rPr>
        <w:footnoteRef/>
      </w:r>
      <w:r>
        <w:rPr/>
        <w:t xml:space="preserve"> </w:t>
      </w:r>
      <w:r>
        <w:rPr>
          <w:u w:val="single"/>
        </w:rPr>
        <w:t>See</w:t>
      </w:r>
      <w:r>
        <w:rPr/>
        <w:t xml:space="preserve"> exchange between Chairman Hoecker and Fielder, TR 298:14 – 302: 5.</w:t>
      </w:r>
    </w:p>
  </w:footnote>
  <w:footnote w:id="49">
    <w:p>
      <w:pPr>
        <w:pStyle w:val="FootnoteText"/>
        <w:rPr/>
      </w:pPr>
      <w:r>
        <w:rPr>
          <w:rStyle w:val="FootnoteCharacters"/>
        </w:rPr>
        <w:footnoteRef/>
      </w:r>
      <w:r>
        <w:rPr/>
        <w:t xml:space="preserve"> </w:t>
      </w:r>
      <w:r>
        <w:rPr>
          <w:u w:val="single"/>
        </w:rPr>
        <w:t>See, e.g.,</w:t>
      </w:r>
      <w:r>
        <w:rPr/>
        <w:t xml:space="preserve"> Enron Whitepaper, 26-27.</w:t>
      </w:r>
    </w:p>
  </w:footnote>
  <w:footnote w:id="50">
    <w:p>
      <w:pPr>
        <w:pStyle w:val="FootnoteText"/>
        <w:rPr/>
      </w:pPr>
      <w:r>
        <w:rPr>
          <w:rStyle w:val="FootnoteCharacters"/>
        </w:rPr>
        <w:footnoteRef/>
      </w:r>
      <w:r>
        <w:rPr/>
        <w:t xml:space="preserve"> </w:t>
      </w:r>
      <w:r>
        <w:rPr>
          <w:u w:val="single"/>
        </w:rPr>
        <w:t>See</w:t>
      </w:r>
      <w:r>
        <w:rPr/>
        <w:t xml:space="preserve">, </w:t>
      </w:r>
      <w:r>
        <w:rPr>
          <w:i/>
          <w:iCs/>
        </w:rPr>
        <w:t>Order Instituting Investigation Into Implementation Of Assembly Bill 970 Regarding The Identification Of Electric Transmission And Distribution Constraints, Actions To Resolve Those Constraints, And Related Matters Affecting The Reliability Of Electric Supply</w:t>
      </w:r>
      <w:r>
        <w:rPr/>
        <w:t xml:space="preserve">, CPUC Investigation 00-11-001, initiated November 2, 2000.  (“An alternative approach [to the August 25 CAISO peaker solicitation] that we believe must be considered is for the Commission to identify whether there is a need for new power plants and whether it should order regulated utilities to construct them or contract for them at prices that approximate costs.”).  </w:t>
      </w:r>
    </w:p>
  </w:footnote>
  <w:footnote w:id="51">
    <w:p>
      <w:pPr>
        <w:pStyle w:val="FootnoteText"/>
        <w:rPr/>
      </w:pPr>
      <w:r>
        <w:rPr>
          <w:rStyle w:val="FootnoteCharacters"/>
        </w:rPr>
        <w:footnoteRef/>
      </w:r>
      <w:r>
        <w:rPr/>
        <w:t xml:space="preserve"> </w:t>
      </w:r>
      <w:r>
        <w:rPr>
          <w:u w:val="single"/>
        </w:rPr>
        <w:t>See</w:t>
      </w:r>
      <w:r>
        <w:rPr/>
        <w:t>, footnote 43, supra.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5"/>
      <w:numFmt w:val="lowerRoman"/>
      <w:lvlText w:val="%1."/>
      <w:lvlJc w:val="start"/>
      <w:pPr>
        <w:tabs>
          <w:tab w:val="num" w:pos="4320"/>
        </w:tabs>
        <w:ind w:start="4320" w:hanging="288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upperRoman"/>
      <w:lvlText w:val="%1."/>
      <w:lvlJc w:val="start"/>
      <w:pPr>
        <w:tabs>
          <w:tab w:val="num" w:pos="706"/>
        </w:tabs>
        <w:ind w:start="706" w:hanging="72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u w:val="single"/>
    </w:rPr>
  </w:style>
  <w:style w:type="paragraph" w:styleId="Heading2">
    <w:name w:val="heading 2"/>
    <w:basedOn w:val="Normal"/>
    <w:next w:val="Normal"/>
    <w:qFormat/>
    <w:pPr>
      <w:numPr>
        <w:ilvl w:val="1"/>
        <w:numId w:val="1"/>
      </w:numPr>
      <w:outlineLvl w:val="1"/>
    </w:pPr>
    <w:rPr>
      <w:i/>
      <w:iCs/>
      <w:u w:val="single"/>
    </w:rPr>
  </w:style>
  <w:style w:type="paragraph" w:styleId="Heading3">
    <w:name w:val="heading 3"/>
    <w:basedOn w:val="Normal"/>
    <w:next w:val="Normal"/>
    <w:qFormat/>
    <w:pPr>
      <w:keepNext w:val="true"/>
      <w:numPr>
        <w:ilvl w:val="2"/>
        <w:numId w:val="1"/>
      </w:numPr>
      <w:ind w:hanging="355" w:start="1775" w:end="0"/>
      <w:outlineLvl w:val="2"/>
    </w:pPr>
    <w:rPr>
      <w:b/>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u w:val="none"/>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355" w:start="1065" w:end="0"/>
    </w:pPr>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2000-11-22T17:14:00Z</dcterms:created>
  <dc:creator>Andrew Brown</dc:creator>
  <dc:description/>
  <dc:language>en-CA</dc:language>
  <cp:lastModifiedBy>Andrew Brown</cp:lastModifiedBy>
  <cp:lastPrinted>2000-11-22T12:19:00Z</cp:lastPrinted>
  <dcterms:modified xsi:type="dcterms:W3CDTF">2000-11-22T17:50:00Z</dcterms:modified>
  <cp:revision>10</cp:revision>
  <dc:subject/>
  <dc:title>UNITED STATES OF AMERICA</dc:title>
</cp:coreProperties>
</file>