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97280" cy="678815"/>
            <wp:effectExtent l="0" t="0" r="0" b="0"/>
            <wp:docPr id="1" name="MPP%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20LOGO" descr="" title=""/>
                    <pic:cNvPicPr>
                      <a:picLocks noChangeAspect="1" noChangeArrowheads="1"/>
                    </pic:cNvPicPr>
                  </pic:nvPicPr>
                  <pic:blipFill>
                    <a:blip r:embed="rId2"/>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Independent Energy Producers Association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mallCaps/>
          <w:sz w:val="26"/>
        </w:rPr>
      </w:pPr>
      <w:r>
        <w:rPr>
          <w:rFonts w:cs="Arial" w:ascii="Arial" w:hAnsi="Arial"/>
          <w:b/>
          <w:smallCaps/>
          <w:sz w:val="26"/>
        </w:rPr>
        <w:t>Legislative Bill Report</w:t>
      </w:r>
    </w:p>
    <w:p>
      <w:pPr>
        <w:pStyle w:val="Normal"/>
        <w:jc w:val="center"/>
        <w:rPr>
          <w:rFonts w:ascii="Arial" w:hAnsi="Arial" w:cs="Arial"/>
          <w:b/>
          <w:smallCaps/>
          <w:sz w:val="26"/>
        </w:rPr>
      </w:pPr>
      <w:r>
        <w:rPr>
          <w:rFonts w:cs="Arial" w:ascii="Arial" w:hAnsi="Arial"/>
          <w:b/>
          <w:smallCaps/>
          <w:sz w:val="26"/>
        </w:rPr>
        <w:t>July 27, 2001</w:t>
      </w:r>
    </w:p>
    <w:p>
      <w:pPr>
        <w:pStyle w:val="Normal"/>
        <w:jc w:val="center"/>
        <w:rPr>
          <w:rFonts w:ascii="Arial" w:hAnsi="Arial" w:cs="Arial"/>
          <w:b/>
          <w:smallCaps/>
          <w:sz w:val="28"/>
        </w:rPr>
      </w:pPr>
      <w:r>
        <w:rPr>
          <w:rFonts w:cs="Arial" w:ascii="Arial" w:hAnsi="Arial"/>
          <w:b/>
          <w:smallCaps/>
          <w:sz w:val="28"/>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Priority</w:t>
            </w:r>
          </w:p>
        </w:tc>
        <w:tc>
          <w:tcPr>
            <w:tcW w:w="12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w:t>
            </w:r>
          </w:p>
        </w:tc>
        <w:tc>
          <w:tcPr>
            <w:tcW w:w="171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Author</w:t>
            </w:r>
          </w:p>
        </w:tc>
        <w:tc>
          <w:tcPr>
            <w:tcW w:w="216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Title</w:t>
            </w:r>
          </w:p>
        </w:tc>
        <w:tc>
          <w:tcPr>
            <w:tcW w:w="3870" w:type="dxa"/>
            <w:tcBorders>
              <w:bottom w:val="single" w:sz="4" w:space="0" w:color="000000"/>
            </w:tcBorders>
            <w:shd w:fill="E5E5E5" w:val="clear"/>
          </w:tcPr>
          <w:p>
            <w:pPr>
              <w:pStyle w:val="Header"/>
              <w:rPr>
                <w:rFonts w:ascii="Arial Narrow" w:hAnsi="Arial Narrow" w:cs="Arial Narrow"/>
                <w:b/>
              </w:rPr>
            </w:pPr>
            <w:r>
              <w:rPr>
                <w:rFonts w:cs="Arial Narrow" w:ascii="Arial Narrow" w:hAnsi="Arial Narrow"/>
                <w:b/>
              </w:rPr>
              <w:t>Bill Status</w:t>
            </w:r>
          </w:p>
        </w:tc>
      </w:tr>
      <w:tr>
        <w:trPr/>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57</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contracts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07/18/2001</w:t>
            </w:r>
            <w:r>
              <w:rPr>
                <w:rFonts w:cs="Arial Narrow" w:ascii="Arial Narrow" w:hAnsi="Arial Narrow"/>
                <w:sz w:val="20"/>
              </w:rPr>
              <w:t xml:space="preserve">  </w:t>
            </w:r>
            <w:r>
              <w:rPr>
                <w:rFonts w:cs="Arial Narrow" w:ascii="Arial Narrow" w:hAnsi="Arial Narrow"/>
                <w:sz w:val="20"/>
                <w:lang w:val="en-CA"/>
              </w:rPr>
              <w:t>SEN APPROPRIATIONS  Read second time amended and re-referred to Com. on APPR.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 81</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Property taxation: state-assessed property</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SEN APPROPRIATIONS  Read second time amended and re-referred to Com. on APPR.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Corbett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Excess Gross Receipts From Electrical Energy Distribution Tax</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07/24/2001</w:t>
            </w:r>
            <w:r>
              <w:rPr>
                <w:rFonts w:cs="Arial Narrow" w:ascii="Arial Narrow" w:hAnsi="Arial Narrow"/>
                <w:sz w:val="20"/>
              </w:rPr>
              <w:t xml:space="preserve">  </w:t>
            </w:r>
            <w:r>
              <w:rPr>
                <w:rFonts w:cs="Arial Narrow" w:ascii="Arial Narrow" w:hAnsi="Arial Narrow"/>
                <w:sz w:val="20"/>
                <w:lang w:val="en-CA"/>
              </w:rPr>
              <w:t>#4 ASSEMBLY EXTRAORDINARY ASSEMBLY THIRD READING FILE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9</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aggregation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10</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generating facilities: certification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06/05/2001</w:t>
            </w:r>
            <w:r>
              <w:rPr>
                <w:rFonts w:cs="Arial Narrow" w:ascii="Arial Narrow" w:hAnsi="Arial Narrow"/>
                <w:sz w:val="20"/>
              </w:rPr>
              <w:t xml:space="preserve">  </w:t>
            </w:r>
            <w:r>
              <w:rPr>
                <w:rFonts w:cs="Arial Narrow" w:ascii="Arial Narrow" w:hAnsi="Arial Narrow"/>
                <w:sz w:val="20"/>
                <w:lang w:val="en-CA"/>
              </w:rPr>
              <w:t>Referred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28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Migden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restructuring: Oversight Board: Independent System Operator</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SEN ENERGY, UTILITIES, AND COMMUNICATIONS  Do pass as amended and re-refer to the Committee on Appropriations.</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35</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Vargas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Consumer Power and Conservation Financing Authority: electrical energy: eminent domain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07/16/2001</w:t>
            </w:r>
            <w:r>
              <w:rPr>
                <w:rFonts w:cs="Arial Narrow" w:ascii="Arial Narrow" w:hAnsi="Arial Narrow"/>
                <w:sz w:val="20"/>
              </w:rPr>
              <w:t xml:space="preserve">  </w:t>
            </w:r>
            <w:r>
              <w:rPr>
                <w:rFonts w:cs="Arial Narrow" w:ascii="Arial Narrow" w:hAnsi="Arial Narrow"/>
                <w:sz w:val="20"/>
                <w:lang w:val="en-CA"/>
              </w:rPr>
              <w:t>ASM ENERGY COSTS AND AVAILABILITY  Set second hearing. Hearing cancelled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44</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energy: renewable energy and cogeneration powerplants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06/06/2001</w:t>
            </w:r>
            <w:r>
              <w:rPr>
                <w:rFonts w:cs="Arial Narrow" w:ascii="Arial Narrow" w:hAnsi="Arial Narrow"/>
                <w:sz w:val="20"/>
              </w:rPr>
              <w:t xml:space="preserve">  </w:t>
            </w:r>
            <w:r>
              <w:rPr>
                <w:rFonts w:cs="Arial Narrow" w:ascii="Arial Narrow" w:hAnsi="Arial Narrow"/>
                <w:sz w:val="20"/>
                <w:lang w:val="en-CA"/>
              </w:rPr>
              <w:t>ASM NATURAL RESOURCES  In committee: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51</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Reyes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generation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07/10/2001</w:t>
            </w:r>
            <w:r>
              <w:rPr>
                <w:rFonts w:cs="Arial Narrow" w:ascii="Arial Narrow" w:hAnsi="Arial Narrow"/>
                <w:sz w:val="20"/>
              </w:rPr>
              <w:t xml:space="preserve">  </w:t>
            </w:r>
            <w:r>
              <w:rPr>
                <w:rFonts w:cs="Arial Narrow" w:ascii="Arial Narrow" w:hAnsi="Arial Narrow"/>
                <w:sz w:val="20"/>
                <w:lang w:val="en-CA"/>
              </w:rPr>
              <w:t>ASM ENERGY COSTS AND AVAILABILITY  From committee: Amend do pass as amended and re-refer to Com. on E. C. &amp; A. Ayes 7. Noes 0. July 3 .</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65</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Cardoza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Electricity and natural gas: illegal business practices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07/24/2001</w:t>
            </w:r>
            <w:r>
              <w:rPr>
                <w:rFonts w:cs="Arial Narrow" w:ascii="Arial Narrow" w:hAnsi="Arial Narrow"/>
                <w:sz w:val="20"/>
              </w:rPr>
              <w:t xml:space="preserve">  </w:t>
            </w:r>
            <w:r>
              <w:rPr>
                <w:rFonts w:cs="Arial Narrow" w:ascii="Arial Narrow" w:hAnsi="Arial Narrow"/>
                <w:sz w:val="20"/>
                <w:lang w:val="en-CA"/>
              </w:rPr>
              <w:t>#6 ASSEMBLY EXTRAORDINARY ASSEMBLY THIRD READING FILE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68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Alquist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California Infrastructure and Economic Development Bank Fund: appropriation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06/18/2001</w:t>
            </w:r>
            <w:r>
              <w:rPr>
                <w:rFonts w:cs="Arial Narrow" w:ascii="Arial Narrow" w:hAnsi="Arial Narrow"/>
                <w:sz w:val="20"/>
              </w:rPr>
              <w:t xml:space="preserve">  </w:t>
            </w:r>
            <w:r>
              <w:rPr>
                <w:rFonts w:cs="Arial Narrow" w:ascii="Arial Narrow" w:hAnsi="Arial Narrow"/>
                <w:sz w:val="20"/>
                <w:lang w:val="en-CA"/>
              </w:rPr>
              <w:t>ASM APPROPRIATIONS  Referred to Coms. on E. C. &amp; A. and J. E.D. &amp; E.</w:t>
            </w:r>
          </w:p>
        </w:tc>
      </w:tr>
      <w:tr>
        <w:trPr/>
        <w:tc>
          <w:tcPr>
            <w:tcW w:w="1170" w:type="dxa"/>
            <w:tcBorders>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82</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Keeley</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Utility Rate Stabilization Act of 2001</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07/24/2001</w:t>
            </w:r>
            <w:r>
              <w:rPr>
                <w:rFonts w:cs="Arial Narrow" w:ascii="Arial Narrow" w:hAnsi="Arial Narrow"/>
                <w:sz w:val="20"/>
              </w:rPr>
              <w:t xml:space="preserve">  </w:t>
            </w:r>
            <w:r>
              <w:rPr>
                <w:rFonts w:cs="Arial Narrow" w:ascii="Arial Narrow" w:hAnsi="Arial Narrow"/>
                <w:sz w:val="20"/>
                <w:lang w:val="en-CA"/>
              </w:rPr>
              <w:t>#5 ASSEMBLY EXTRAORDINARY ASSEMBLY THIRD READING FILE</w:t>
            </w:r>
          </w:p>
        </w:tc>
      </w:tr>
    </w:tbl>
    <w:p>
      <w:pPr>
        <w:pStyle w:val="Normal"/>
        <w:rPr/>
      </w:pPr>
      <w:r>
        <w:br w:type="page"/>
      </w:r>
      <w:r>
        <w:rPr/>
      </w:r>
    </w:p>
    <w:tbl>
      <w:tblPr>
        <w:tblW w:w="10170" w:type="dxa"/>
        <w:jc w:val="start"/>
        <w:tblInd w:w="-252" w:type="dxa"/>
        <w:tblLayout w:type="fixed"/>
        <w:tblCellMar>
          <w:top w:w="0" w:type="dxa"/>
          <w:start w:w="108" w:type="dxa"/>
          <w:bottom w:w="0" w:type="dxa"/>
          <w:end w:w="108" w:type="dxa"/>
        </w:tblCellMar>
      </w:tblPr>
      <w:tblGrid>
        <w:gridCol w:w="1170"/>
        <w:gridCol w:w="1260"/>
        <w:gridCol w:w="1710"/>
        <w:gridCol w:w="2160"/>
        <w:gridCol w:w="3870"/>
      </w:tblGrid>
      <w:tr>
        <w:trPr/>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rPr>
              <w:t>Urgent (cont.)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ABX2 83</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Wright</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Alternative Electric Utility Rate Stabilization Act of 2001</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Read first time. To print.</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996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03/15/2001</w:t>
            </w:r>
            <w:r>
              <w:rPr>
                <w:rFonts w:cs="Arial Narrow" w:ascii="Arial Narrow" w:hAnsi="Arial Narrow"/>
                <w:sz w:val="20"/>
              </w:rPr>
              <w:t xml:space="preserve">  </w:t>
            </w:r>
            <w:r>
              <w:rPr>
                <w:rFonts w:cs="Arial Narrow" w:ascii="Arial Narrow" w:hAnsi="Arial Narrow"/>
                <w:sz w:val="20"/>
                <w:lang w:val="en-CA"/>
              </w:rPr>
              <w:t>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 1126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04/24/2001</w:t>
            </w:r>
            <w:r>
              <w:rPr>
                <w:rFonts w:cs="Arial Narrow" w:ascii="Arial Narrow" w:hAnsi="Arial Narrow"/>
                <w:sz w:val="20"/>
              </w:rPr>
              <w:t xml:space="preserve">  </w:t>
            </w:r>
            <w:r>
              <w:rPr>
                <w:rFonts w:cs="Arial Narrow" w:ascii="Arial Narrow" w:hAnsi="Arial Narrow"/>
                <w:sz w:val="20"/>
                <w:lang w:val="en-CA"/>
              </w:rPr>
              <w:t>SEN ENERGY, UTILITIES, AND COMMUNICATIONS  Set first hearing. Hearing canceled at the request of author.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Personal income and bank and corporation taxes: electrical windfall profits tax: consumer credit</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07/09/2001</w:t>
            </w:r>
            <w:r>
              <w:rPr>
                <w:rFonts w:cs="Arial Narrow" w:ascii="Arial Narrow" w:hAnsi="Arial Narrow"/>
                <w:sz w:val="20"/>
              </w:rPr>
              <w:t xml:space="preserve">  </w:t>
            </w:r>
            <w:r>
              <w:rPr>
                <w:rFonts w:cs="Arial Narrow" w:ascii="Arial Narrow" w:hAnsi="Arial Narrow"/>
                <w:sz w:val="20"/>
                <w:lang w:val="en-CA"/>
              </w:rPr>
              <w:t>ASM REVENUE AND TAXATION  Hearing postponed by committee.</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Alarcon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 power: retail sales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 on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18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Burton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Department of Water Resources: electricity: bond financing order</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07/23/2001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23</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Soto</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power districts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07/19/2001</w:t>
            </w:r>
            <w:r>
              <w:rPr>
                <w:rFonts w:cs="Arial Narrow" w:ascii="Arial Narrow" w:hAnsi="Arial Narrow"/>
                <w:sz w:val="20"/>
              </w:rPr>
              <w:t xml:space="preserve">  </w:t>
            </w:r>
            <w:r>
              <w:rPr>
                <w:rFonts w:cs="Arial Narrow" w:ascii="Arial Narrow" w:hAnsi="Arial Narrow"/>
                <w:sz w:val="20"/>
                <w:lang w:val="en-CA"/>
              </w:rPr>
              <w:t>In Assembly. Read first time. Held at Desk.</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39</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Speier</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Public Utilities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07/17/2001</w:t>
            </w:r>
            <w:r>
              <w:rPr>
                <w:rFonts w:cs="Arial Narrow" w:ascii="Arial Narrow" w:hAnsi="Arial Narrow"/>
                <w:sz w:val="20"/>
              </w:rPr>
              <w:t xml:space="preserve">  </w:t>
            </w:r>
            <w:r>
              <w:rPr>
                <w:rFonts w:cs="Arial Narrow" w:ascii="Arial Narrow" w:hAnsi="Arial Narrow"/>
                <w:sz w:val="20"/>
                <w:lang w:val="en-CA"/>
              </w:rPr>
              <w:t>ASM ENERGY COSTS AND AVAILABILITY  Reconsideration granted.</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76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Morrow</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Electrical power plant approval</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05/17/2001</w:t>
            </w:r>
            <w:r>
              <w:rPr>
                <w:rFonts w:cs="Arial Narrow" w:ascii="Arial Narrow" w:hAnsi="Arial Narrow"/>
                <w:sz w:val="20"/>
              </w:rPr>
              <w:t xml:space="preserve">  </w:t>
            </w:r>
            <w:r>
              <w:rPr>
                <w:rFonts w:cs="Arial Narrow" w:ascii="Arial Narrow" w:hAnsi="Arial Narrow"/>
                <w:sz w:val="20"/>
                <w:lang w:val="en-CA"/>
              </w:rPr>
              <w:t>Introduced. Read first time. To Coms. on L.GOV. and E. U. &amp; C.</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86</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Peace</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Powerplant facility and site certification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07/18/2001</w:t>
            </w:r>
            <w:r>
              <w:rPr>
                <w:rFonts w:cs="Arial Narrow" w:ascii="Arial Narrow" w:hAnsi="Arial Narrow"/>
                <w:sz w:val="20"/>
              </w:rPr>
              <w:t xml:space="preserve">  </w:t>
            </w:r>
            <w:r>
              <w:rPr>
                <w:rFonts w:cs="Arial Narrow" w:ascii="Arial Narrow" w:hAnsi="Arial Narrow"/>
                <w:sz w:val="20"/>
                <w:lang w:val="en-CA"/>
              </w:rPr>
              <w:t>SEN APPROPRIATIONS  Read second time. Amended. Re-referred to Com. on APPR.</w:t>
            </w:r>
          </w:p>
        </w:tc>
      </w:tr>
      <w:tr>
        <w:trPr/>
        <w:tc>
          <w:tcPr>
            <w:tcW w:w="1170" w:type="dxa"/>
            <w:tcBorders>
              <w:start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SBX2 88</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False statements: penalty</w:t>
            </w:r>
          </w:p>
        </w:tc>
        <w:tc>
          <w:tcPr>
            <w:tcW w:w="38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0"/>
              </w:rPr>
            </w:pPr>
            <w:r>
              <w:rPr>
                <w:rFonts w:cs="Arial Narrow" w:ascii="Arial Narrow" w:hAnsi="Arial Narrow"/>
                <w:sz w:val="20"/>
                <w:lang w:val="en-CA"/>
              </w:rPr>
              <w:t>07/03/2001</w:t>
            </w:r>
            <w:r>
              <w:rPr>
                <w:rFonts w:cs="Arial Narrow" w:ascii="Arial Narrow" w:hAnsi="Arial Narrow"/>
                <w:sz w:val="20"/>
              </w:rPr>
              <w:t xml:space="preserve">  </w:t>
            </w:r>
            <w:r>
              <w:rPr>
                <w:rFonts w:cs="Arial Narrow" w:ascii="Arial Narrow" w:hAnsi="Arial Narrow"/>
                <w:sz w:val="20"/>
                <w:lang w:val="en-CA"/>
              </w:rPr>
              <w:t>SEN PUBLIC SAFETY  To Com. on PUB. S.</w:t>
            </w:r>
          </w:p>
        </w:tc>
      </w:tr>
      <w:tr>
        <w:trPr/>
        <w:tc>
          <w:tcPr>
            <w:tcW w:w="1170" w:type="dxa"/>
            <w:tcBorders>
              <w:start w:val="single" w:sz="4" w:space="0" w:color="000000"/>
              <w:bottom w:val="single" w:sz="4" w:space="0" w:color="000000"/>
              <w:end w:val="single" w:sz="4" w:space="0" w:color="000000"/>
            </w:tcBorders>
          </w:tcPr>
          <w:p>
            <w:pPr>
              <w:pStyle w:val="Normal"/>
              <w:snapToGrid w:val="false"/>
              <w:rPr>
                <w:rFonts w:ascii="Arial Narrow" w:hAnsi="Arial Narrow" w:cs="Arial Narrow"/>
                <w:b/>
                <w:sz w:val="20"/>
              </w:rPr>
            </w:pPr>
            <w:r>
              <w:rPr>
                <w:rFonts w:cs="Arial Narrow" w:ascii="Arial Narrow" w:hAnsi="Arial Narrow"/>
                <w:b/>
                <w:sz w:val="20"/>
              </w:rPr>
            </w:r>
          </w:p>
        </w:tc>
        <w:tc>
          <w:tcPr>
            <w:tcW w:w="12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SBX2 89</w:t>
            </w:r>
          </w:p>
        </w:tc>
        <w:tc>
          <w:tcPr>
            <w:tcW w:w="171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b/>
                <w:sz w:val="20"/>
              </w:rPr>
            </w:pPr>
            <w:r>
              <w:rPr>
                <w:rFonts w:cs="Arial Narrow" w:ascii="Arial Narrow" w:hAnsi="Arial Narrow"/>
                <w:b/>
                <w:sz w:val="20"/>
                <w:lang w:val="en-CA"/>
              </w:rPr>
              <w:t>Figueroa</w:t>
            </w:r>
          </w:p>
        </w:tc>
        <w:tc>
          <w:tcPr>
            <w:tcW w:w="216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Retaliation</w:t>
            </w:r>
          </w:p>
        </w:tc>
        <w:tc>
          <w:tcPr>
            <w:tcW w:w="3870" w:type="dxa"/>
            <w:tcBorders>
              <w:top w:val="single" w:sz="4" w:space="0" w:color="000000"/>
              <w:start w:val="single" w:sz="4" w:space="0" w:color="000000"/>
              <w:bottom w:val="single" w:sz="4" w:space="0" w:color="000000"/>
              <w:end w:val="single" w:sz="4" w:space="0" w:color="000000"/>
            </w:tcBorders>
            <w:shd w:fill="FFFF00" w:val="clear"/>
          </w:tcPr>
          <w:p>
            <w:pPr>
              <w:pStyle w:val="Normal"/>
              <w:rPr>
                <w:rFonts w:ascii="Arial Narrow" w:hAnsi="Arial Narrow" w:cs="Arial Narrow"/>
                <w:sz w:val="20"/>
              </w:rPr>
            </w:pPr>
            <w:r>
              <w:rPr>
                <w:rFonts w:cs="Arial Narrow" w:ascii="Arial Narrow" w:hAnsi="Arial Narrow"/>
                <w:sz w:val="20"/>
                <w:lang w:val="en-CA"/>
              </w:rPr>
              <w:t>08/22/2001</w:t>
            </w:r>
            <w:r>
              <w:rPr>
                <w:rFonts w:cs="Arial Narrow" w:ascii="Arial Narrow" w:hAnsi="Arial Narrow"/>
                <w:sz w:val="20"/>
              </w:rPr>
              <w:t xml:space="preserve">  </w:t>
            </w:r>
            <w:r>
              <w:rPr>
                <w:rFonts w:cs="Arial Narrow" w:ascii="Arial Narrow" w:hAnsi="Arial Narrow"/>
                <w:sz w:val="20"/>
                <w:lang w:val="en-CA"/>
              </w:rPr>
              <w:t xml:space="preserve">9:30 a.m. - Room 2040 SENATE COMMITTEE EXTRAORDINARY LABOR AND INDUSTRIAL RELATIONS </w:t>
            </w:r>
          </w:p>
        </w:tc>
      </w:tr>
    </w:tbl>
    <w:p>
      <w:pPr>
        <w:pStyle w:val="Normal"/>
        <w:rPr/>
      </w:pPr>
      <w:r>
        <w:rPr/>
      </w:r>
      <w:r>
        <w:br w:type="page"/>
      </w:r>
    </w:p>
    <w:p>
      <w:pPr>
        <w:pStyle w:val="Normal"/>
        <w:rPr/>
      </w:pPr>
      <w:r>
        <w:rPr/>
        <w:drawing>
          <wp:inline distT="0" distB="0" distL="0" distR="0">
            <wp:extent cx="1097280" cy="67881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8" t="-12" r="-8" b="-12"/>
                    <a:stretch>
                      <a:fillRect/>
                    </a:stretch>
                  </pic:blipFill>
                  <pic:spPr bwMode="auto">
                    <a:xfrm>
                      <a:off x="0" y="0"/>
                      <a:ext cx="1097280" cy="678815"/>
                    </a:xfrm>
                    <a:prstGeom prst="rect">
                      <a:avLst/>
                    </a:prstGeom>
                    <a:noFill/>
                  </pic:spPr>
                </pic:pic>
              </a:graphicData>
            </a:graphic>
          </wp:inline>
        </w:drawing>
      </w:r>
    </w:p>
    <w:p>
      <w:pPr>
        <w:pStyle w:val="Normal"/>
        <w:jc w:val="center"/>
        <w:rPr>
          <w:rFonts w:ascii="Arial" w:hAnsi="Arial" w:cs="Arial"/>
          <w:b/>
          <w:smallCaps/>
          <w:sz w:val="26"/>
        </w:rPr>
      </w:pPr>
      <w:r>
        <w:rPr>
          <w:rFonts w:cs="Arial" w:ascii="Arial" w:hAnsi="Arial"/>
          <w:b/>
          <w:smallCaps/>
          <w:sz w:val="26"/>
        </w:rPr>
        <w:t>Legislative Bill Summaries</w:t>
      </w:r>
    </w:p>
    <w:p>
      <w:pPr>
        <w:pStyle w:val="Normal"/>
        <w:jc w:val="center"/>
        <w:rPr>
          <w:rFonts w:ascii="Arial" w:hAnsi="Arial" w:cs="Arial"/>
          <w:b/>
          <w:smallCaps/>
          <w:sz w:val="26"/>
        </w:rPr>
      </w:pPr>
      <w:r>
        <w:rPr>
          <w:rFonts w:cs="Arial" w:ascii="Arial" w:hAnsi="Arial"/>
          <w:b/>
          <w:smallCaps/>
          <w:sz w:val="26"/>
        </w:rPr>
        <w:t>July 27, 2001</w:t>
      </w:r>
    </w:p>
    <w:p>
      <w:pPr>
        <w:pStyle w:val="Normal"/>
        <w:rPr>
          <w:rFonts w:ascii="Arial" w:hAnsi="Arial" w:cs="Arial"/>
          <w:b/>
          <w:smallCaps/>
          <w:sz w:val="26"/>
        </w:rPr>
      </w:pPr>
      <w:r>
        <w:rPr>
          <w:rFonts w:cs="Arial" w:ascii="Arial" w:hAnsi="Arial"/>
          <w:b/>
          <w:smallCaps/>
          <w:sz w:val="26"/>
        </w:rPr>
      </w:r>
    </w:p>
    <w:p>
      <w:pPr>
        <w:pStyle w:val="Normal"/>
        <w:jc w:val="center"/>
        <w:rPr>
          <w:rFonts w:ascii="Arial" w:hAnsi="Arial" w:cs="Arial"/>
          <w:b/>
          <w:smallCaps/>
          <w:sz w:val="26"/>
        </w:rPr>
      </w:pPr>
      <w:r>
        <w:rPr>
          <w:rFonts w:cs="Arial" w:ascii="Arial" w:hAnsi="Arial"/>
          <w:b/>
          <w:smallCaps/>
          <w:sz w:val="26"/>
        </w:rPr>
        <w:t>“</w:t>
      </w:r>
      <w:r>
        <w:rPr>
          <w:rFonts w:cs="Arial" w:ascii="Arial" w:hAnsi="Arial"/>
          <w:b/>
          <w:smallCaps/>
          <w:sz w:val="26"/>
        </w:rPr>
        <w:t>Urgent” Bill Digests</w:t>
      </w:r>
    </w:p>
    <w:p>
      <w:pPr>
        <w:pStyle w:val="Normal"/>
        <w:jc w:val="center"/>
        <w:rPr>
          <w:rFonts w:ascii="Arial" w:hAnsi="Arial" w:cs="Arial"/>
          <w:b/>
          <w:smallCaps/>
          <w:sz w:val="26"/>
        </w:rPr>
      </w:pPr>
      <w:r>
        <w:rPr>
          <w:rFonts w:cs="Arial" w:ascii="Arial" w:hAnsi="Arial"/>
          <w:b/>
          <w:smallCaps/>
          <w:sz w:val="2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57</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contracts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Read second time amended and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Public Utilities Act imposes various duties and responsibilities on the Public Utilities Commission with respect to the purchase of electricity. This bill would state findings and declarations regarding short-term and long-term contracts for the purchase of electricity and would state the intent of the Legislature with respect to the procurement of electricity by an electrical corporation. The bill would declare the intent of the Legislature that an electrical corporation, as defined, shall create a diversified procurement portfolio consisting of both short-term and long-term electricity and electricity related products.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www.leginfo.ca.gov/cgi-bin/postquery?bill_number=ab_57&amp;sess=CUR&amp;house=B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 81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Property taxation: state-assessed property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Read second time amended and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California Constitution requires the State Board of Equalization to assess the property, other than franchises, of companies transmitting or selling gas or electricity. Existing regulations require the board to assess an electric generation facility, for purposes of this constitutional provision, only if (1) the facility was constructed pursuant to a certificate of public convenience and necessity issued by the California Public Utilities Commission to the company that presently owns the facility or (2) the company owning the facility is a state assessee for reasons other than its ownership of the generation facility or its ownership of pipelines, flumes, canals, ditches, or aqueducts lying within 2 or more counties. This bill would require the board to annually assess electric generation facilities, with specified exceptions, with a generating capacity of 50 megawatts or more that is owned by an electrical corporation, as defined.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www.leginfo.ca.gov/cgi-bin/postquery?bill_number=ab_81&amp;sess=CUR&amp;house=B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Corbett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06/12/2001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Excess Gross Receipts From Electrical Energy Distribution Tax</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#4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imposes a tax measured by income upon every resident of this state. The Bank and Corporation Tax Law imposes a tax measured by income upon every corporation doing business in, or deriving income from, this state. This bill would impose the Excess Gross Receipts From Electrical Energy Distribution Tax on sales of electricity in this state in an amount equal to the applicable percentage of the portion of the sales price of electricity that exceeds the base price, as defined.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www.leginfo.ca.gov/cgi-bin/postquery?bill_number=abx2_2&amp;sess=CUR&amp;house=B</w:t>
            </w:r>
          </w:p>
        </w:tc>
      </w:tr>
    </w:tbl>
    <w:p>
      <w:pPr>
        <w:pStyle w:val="Normal"/>
        <w:rPr>
          <w:rFonts w:ascii="Arial Narrow" w:hAnsi="Arial Narrow" w:cs="Arial Narrow"/>
          <w:sz w:val="16"/>
        </w:rPr>
      </w:pPr>
      <w:r>
        <w:rPr>
          <w:rFonts w:cs="Arial Narrow" w:ascii="Arial Narrow" w:hAnsi="Arial Narrow"/>
          <w:sz w:val="16"/>
        </w:rPr>
      </w:r>
      <w:r>
        <w:br w:type="page"/>
      </w:r>
    </w:p>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05/24/2001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aggregation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transactions between electricity suppliers and end-use customers, authorizes specified entities to aggregate electrical loads, and defines an 'aggregator' as one of those specified entities that provides specified power supply services, including combining the loads of multiple end-use customers and facilitating the sale and purchase of electrical energy, transmission, and other services on behalf of the end-use customers.  This bill would, instead, authorize customers to aggregate their electric loads as individual consumers with private aggregators, as defined, or as members of their local community with community choice aggregators, as defined. The bill would, with regard to community choice aggregators, authorize any municipality or any group of municipalities acting together to aggregate the electrical load of interested electricity consumers within its boundaries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www.leginfo.ca.gov/cgi-bin/postquery?bill_number=abx2_9&amp;sess=CUR&amp;house=B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10</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Hertzberg</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generating facilities: certification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Referred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approve the siting of electrical generating facilities, as specified. This bill would require, as a condition of certification by the commission, that an applicant offer to enter into a contract to sell to an electrical corporation, a municipal corporation, or the Department of Water Resources, electrical power generated by the facility at its initial and continuing available capacity pursuant to specified terms. The bill would require the commission to adopt rules and regulations for these purposes.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www.leginfo.ca.gov/cgi-bin/postquery?bill_number=abx2_10&amp;sess=CUR&amp;house=B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28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Migden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restructuring: Oversight Board: Independent System Operator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Do pass as amended and re-refer to the Committee on Appropriations.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existing restructuring of the electrical services industry within the Public Utilities Act provides for the establishment of an Independent System Operator and a Power Exchange as separately incorporated public benefit nonprofit corporations. An Electricity Oversight Board (Oversight Board) is also established to oversee the Independent System Operator and the Power Exchange in order to ensure the success of electric industry restructuring and to ensure a reliable supply of electricity in the transition to a new market structure. The Oversight Board is granted various powers in order to carry out these purposes. This bill would , until the occurrence of a specified event, expand the authority of the Oversight Board to investigate any matter related to the wholesale market for electricity to ensure that the interests of California's citizens and consumers are served, protected, and represented in relation to the availability of electric transmission and generation , and related costs, during periods of peak demand, including provisions for the inspection and reproduction of certain information. The bill would enact confidentiality requirements and procedures applicable to information provided in this regard.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www.leginfo.ca.gov/cgi-bin/postquery?bill_number=abx2_28&amp;sess=CUR&amp;house=B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35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Vargas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Consumer Power and Conservation Financing Authority: electrical energy: eminent domain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Set second hearing. Hearing cancelled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California Consumer Power and Conservation Financing Authority for various purposes, including owning, operating, and acquiring generating facilities to ensure a sufficient and reliable supply of electricity for California's consumers at just and reasonable rates. Existing law authorizes the authority to exercise the power of eminent domain to accomplish its purposes . Existing law also authorizes the Public Utilities Commission to fix, in a single sum, the just compensation to be paid by a political subdivision for the lands, property, and rights of any character of any public utility to be acquired by the political subdivision under eminent domain proceedings. This bill would require the authority to acquire under eminent domain proceedings, for a period of at least 18 months but not to exceed 24 months, possession and use of all property , as defined, that the authority determines is necessary for the generation of electrical power. The bill would provide that any property acquired under these provisions would be under the immediate control of the authority . The bill would require the authority, upon condemning property under these provisions, to also condemn any contracts for the sale of electrical power that is generated with or on the property condemned, to which the property owner is a party. The bill would also require the authority to condemn all labor contracts necessary to provide for services the state cannot adequately and competently perform in operating and maintaining the property for the duration of the acquisition. The bill would provide that the valuation of all property acquired, for the purposes of determining just compensation to be paid, shall be equivalent to the reasonable rental value of the property, for the period of time the property is acquired, as determined by the Public Utilities Commission. The bill would provide that only property that was in operation on or before May 21, 2001, may be condemned under these provisions. The bill would specify that its provisions shall remain in effect only until January 1, 2005, and as of that date will be repealed.</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www.leginfo.ca.gov/cgi-bin/postquery?bill_number=abx2_35&amp;sess=CUR&amp;house=B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44</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05/21/2001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energy: renewable energy and cogeneration powerplants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06/06/2001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NATURAL RESOURCES  In committee: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State Energy Resources Conservation and Development Commission to establish a process to issue its final certification for any thermal powerplant and related facilities within 6 months after the filing of the application for certification, if, on the basis of an initial review, the application shows that the project will not cause a significant adverse impact on the environment or electrical system and will comply with all applicable standards, ordinances, or laws. This bill would require the commission, at the earliest possible time, to develop and implement a procedure for the regulation and siting of new or updated qualifying small power production or cogeneration facilities (QF), as defined. The bill would require the procedure to include specified requirements relating to the level of air emissions produced at a new or upgraded QF, the use of the best available control technology, as defined by the appropriate local air quality management district or air pollution control district, to be used to regulate air emissions at the facility, and the completion of a study by an applicant for certification of a new or upgraded QF of the interconnection costs and requirements if the QF will produce electric power that will be transmitted to the state power grid and sold in California. This bill would require the utility, or a private party with whom the utility contracts, to complete the study of the interconnection costs and requirements within 20 days of the receipt of the application for certification by the commission.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www.leginfo.ca.gov/cgi-bin/postquery?bill_number=abx2_44&amp;sess=CUR&amp;house=B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51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Reyes</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07/11/2001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generation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07/10/2001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From committee: Amend do pass as amended and re-refer to Com. on E. C. &amp; A. Ayes 7. Noes 0. July 3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Under existing law, no electrical corporation that reduces or discontinues service in accordance with any order of the Public Utilities Commission, as specified, is liable for any damages to any person or property resulting from that reduction or discontinuance. This bill would provide that a retail or wholesale operator of an electric generation facility in this state that reduces or discontinues service for solely economic reasons, as defined, is strictly liable for any damages to any person or property, or a portion thereof based on comparative fault, if the damages are proximately caused by that reduction or discontinuance. This bill contains other related provisions.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www.leginfo.ca.gov/cgi-bin/postquery?bill_number=abx2_51&amp;sess=CUR&amp;house=B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65</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Cardoza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07/20/2001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Electricity and natural gas: illegal business practices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#6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imposes various criminal penalties for a violation of the Public Utilities Act. This bill would make it a felony for any person, firm, corporation, business, or combination thereof, to perform any act, or aid, abet, solicit, or conspire to perform any act, that creates a shortage of electricity or natural gas in California with the intent to raise electricity or natural gas prices, materially adversely affect competition, or in any way violate the antitrust laws or other laws of the state regulating illegal business practices. By creating a new crime,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www.leginfo.ca.gov/cgi-bin/postquery?bill_number=abx2_65&amp;sess=CUR&amp;house=B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68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Alquist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California Infrastructure and Economic Development Bank Fund: appropriation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06/18/2001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APPROPRIATIONS  Referred to Coms. on E. C. &amp; A. and J. E.D. &amp; 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Bergeson-Peace Infrastructure and Economic Development Bank Act establishes the California Infrastructure and Economic Development Bank Fund for the purpose of funding specified types of infrastructure development projects. Existing law deems a project for the financing of costs, and categories of costs, of an electrical corporation for generation-related assets and obligations to be in the public interest and eligible for financing by the bank. This bill would transfer $50,000,000 from the General Fund to the California Infrastructure and Economic Development Bank Fund to provide low-interest loans to privately owned electrical corporations to upgrade qualifying power generation facilities to use cleaner, more energy efficient technologies.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www.leginfo.ca.gov/cgi-bin/postquery?bill_number=abx2_68&amp;sess=CUR&amp;house=B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82</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Keeley</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07/19/2001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Utility Rate Stabilization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#5 ASSEMBLY EXTRAORDINARY ASSEMBLY THIRD READING FILE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contractors defines the term 'contractor' and makes it a misdemeanor for any person to engage in the business of or act in the capacity of a contractor within this state without having a license, unless that person is particularly exempted from the provisions of that existing law. This bill, except as specified, would exempt from those provisions an electrical corporation that is party to any agreement with the Department of Water Resources or other authorized state agency or authority relating to transmission or other facilities acquired from an electrical corporation.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www.leginfo.ca.gov/cgi-bin/postquery?bill_number=abx2_82&amp;sess=CUR&amp;house=B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ABX2 83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Wright</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07/17/2001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Alternative Electric Utility Rate Stabilization Act of 2001</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Read first time. To print.</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Public Utilities Commission to establish rates for public utilities. This bill would require the commission to establish the Ratepayer Refund Account with separate subaccounts for each electrical corporation that has entered into an electrical rate settlement agreement. The bill would require that all funds recovered by an electrical corporation from any litigation or agreement relative to the charging of excessive costs for power by electric power generators and suppliers for periods prior to January 18, 2001, be credited to the account. The bill would require all moneys credited to the Ratepayer Refund Account to be refunded to ratepayers, as specified.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www.leginfo.ca.gov/cgi-bin/postquery?bill_number=abx2_83&amp;sess=CUR&amp;house=B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996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02/23/2001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03/15/2001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www.leginfo.ca.gov/cgi-bin/postquery?bill_number=sb_996&amp;sess=CUR&amp;house=B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 1126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04/18/2001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04/24/2001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ENERGY, UTILITIES, AND COMMUNICATIONS  Set first hearing. Hearing canceled at the request of author.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requires the Public Utilities Commission to take necessary action to facilitate direct transactions between electricity suppliers and end-use customers. Existing law requires the commission to authorize all customer classes to voluntarily aggregate their electrical loads. Existing law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it may do so upon written notice to the public agency and pursuant to the opt-out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www.leginfo.ca.gov/cgi-bin/postquery?bill_number=sb_1126&amp;sess=CUR&amp;house=B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07/02/2001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Personal income and bank and corporation taxes: electrical windfall profits tax: consumer credit</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REVENUE AND TAXATION  Hearing postponed by committee.</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Personal Income Tax Law authorizes various credits against the taxes imposed by those laws. This bill, in accordance with the Legislature's stated intent to provide relief to California consumers of electrical power, would for each taxable year beginning on or after January 1, 2001, authorize a refundable California Electricity Consumers Tax Credit. The allowable credit would be computed in a manner that distributes, in equal amounts among those taxpayers required to file a tax return under the Personal Income Tax Law, a sum that is equal to the total amount due and payable under the Electric Windfall Profits Tax imposed under this bill as reduced by any amounts refunded in that taxable year.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Alarcon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 power: retail sales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 on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The Public Utilities Act requires the Public Utilities Commission to take necessary action to facilitate direct transactions between electricity suppliers and end-use customers. The act requires the commission to authorize all customer classes to voluntarily aggregate their electrical loads. The act requires a public agency that seeks to serve as a community aggregator on behalf of residential customers to offer the opportunity to purchase electricity to all residential customers within its jurisdiction. This bill would permit a public agency that seeks to serve as a community aggregator for direct access customers to provide aggregation service to all of the customers within its jurisdiction after a majority vote of its elected governing body. If a customer of the public agency desires to receive service from a different service provider, the bill would authorize it do so upon written notice to the public agency and pursuant to the opt out rules established by the public agency.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18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Burton</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07/20/2001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Department of Water Resources: electricity: bond financing order</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07/23/2001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authorizes the Department of Water Resources to contract with an electrical corporation to transmit or provide for the transmission of, and distribute the power and provide billing, collection, and other related services, as the agent of the department, on terms and conditions that reasonably compensate the electrical corporation for its services, and requires the commission, at the request of the department, to order such actions. Existing law authorizes the department to issue revenue bonds for certain purposes not to exceed a certain amount, containing specified terms and conditions, upon authorization by written determination of the department and with the approval of the Director of Finance and the Treasurer. Existing law permits the department to have the Public Utilities Commission issue finance orders to recover revenue requirements, and delegates to the department the authority to determine if the revenue requirements are just and reasonable. Existing law requires the department, before the issuance of bonds, to establish a mechanism to ensure that the bonds will be sold at investment grade ratings and repaid on a timely basis from pledged revenues. Certain of these provisions enacted by Senate Bill 31 of the 2001-02 First Extraordinary Session become effective on August 13, 2001. This bill would require the bond repayment mechanism to include a DWR Bond Set-Aside, as defined, fixed by an irrevocable Public Utilities Commission bond financing order, sufficient to pay the costs of issuing, servicing, and retiring the bonds, and to be adjusted as required, applicable to all electric power delivered in this state by an electrical corporation subject to the jurisdiction of the commission. The bill would require the total of DWR Bond Set-Asides to be designated as a separate rate component of a retail end user's bill for electrical services and would require any DWR Bond Set-Aside to consist of and be derived from a portion of the rate levels in effect on August 31, 2001. The bill would establish the DWR Bond Repayment Fund, to be continuously appropriated to the department and available for the purpose of the payment of principal, premium, if any, and interest on bonds and associated issuance costs, thereby making an appropriation. The bill would require the revenues from the DWR Bond Set-Aside to be deposited in the DWR Bond Repayment Fund.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www.leginfo.ca.gov/cgi-bin/postquery?bill_number=sbx2_18&amp;sess=CUR&amp;house=B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23</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Soto</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power districts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07/19/2001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 Assembly. Read first time. Held at Desk.</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Existing law, relating to the acquisition of property by the exercise of eminent domain by a public entity, provides that, if the taking is by a local public entity, the resolution of necessity conclusively establishes those facts required by law to exercise the power of eminent domain except in specified situations, including when the property is electric, gas, or water public utility property. This bill would, until January 1, 2007, delete the application of the rebuttable presumption to the taking of electric or gas public utility property if the alternative procedure described under (2) is applied, provided that the conclusive presumption made applicable by the bill shall not be construed as limiting the property owner's rights under specified provisions of existing law, and set forth additional requirements with regard to the findings necessary for the resolution of necessity with respect to the taking of electronic or gas public utility property. This bill would provide that property obtained under these provisions may not be used by a city, municipal utility district, or district to facilitate its entry, on its own, through a 3rd party, or in conjunction with a 3rd party, into cable television or telecommunications services. The bill would provide that property obtained under these provisions and otherwise used by a public entity to provide telecommunications or cable television services would be subject to specified conditions, including the same obligations as any private provider of the same services .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www.leginfo.ca.gov/cgi-bin/postquery?bill_number=sbx2_23&amp;sess=CUR&amp;house=B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39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Speier</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06/06/2001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Public Utilities</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ASM ENERGY COSTS AND AVAILABILITY  Reconsideration granted.</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(1)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This bill would delete this provision. To the extent that this change would expand the class of utilities subject to the act, this bill would impose a state-mandated local program by changing the definition of an existing crime.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www.leginfo.ca.gov/cgi-bin/postquery?bill_number=sbx2_39&amp;sess=CUR&amp;house=B</w:t>
            </w:r>
          </w:p>
        </w:tc>
      </w:tr>
    </w:tbl>
    <w:p>
      <w:pPr>
        <w:pStyle w:val="Normal"/>
        <w:rPr>
          <w:rFonts w:ascii="Arial Narrow" w:hAnsi="Arial Narrow" w:cs="Arial Narrow"/>
          <w:sz w:val="16"/>
        </w:rPr>
      </w:pPr>
      <w:r>
        <w:br w:type="page"/>
      </w: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76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Morrow</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05/17/2001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Electrical power plant approval</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05/17/2001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Read first time. To Coms. on L.GOV. and E. U. &amp; C.</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sets forth the procedures and requirements for city or county approval of development projects. This bill would provide that any local agency whose legislative body reviews and approves a development project that includes facilities for generation, transmission, and distribution of electrical power and that is located within its jurisdiction shall be granted preferential rates and use of the electrical power produced as conditions of approval of the development project.</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www.leginfo.ca.gov/cgi-bin/postquery?bill_number=sbx2_76&amp;sess=CUR&amp;house=B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86</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Peace</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Amended: 07/18/2001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Powerplant facility and site certification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07/18/2001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APPROPRIATIONS  Read second time. Amended. Re-referred to Com. on APPR.</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The existing Warren-Alquist State Energy Resources Conservation and Development Act requires the State Energy Resources Conservation and Development Commission to certify sufficient sites and related facilities that are required to provide a supply of electric power sufficient to accommodate projected demand for power statewide. The commission administers existing law with respect to energy conservation. Existing law authorizes the commission, after hearings, to amend the conditions of, or revoke the certification for, any facility for specified reasons and to administratively impose a civil penalty for specified violations of a certification of up to $50,000 per violation, as prescribed. This bill would authorize the commission to administratively impose a civil penalty for specified violations of up to $75,000, as prescribed.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www.leginfo.ca.gov/cgi-bin/postquery?bill_number=sbx2_86&amp;sess=CUR&amp;house=B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88</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06/28/2001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False statements: penalty</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07/03/2001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SEN PUBLIC SAFETY  To Com. on PUB. S.</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establishes the offense of perjury, generally consisting of making false statements under oath, and punishable by imprisonment in the state prison for a term of 2, 3, or 4 years. This bill would, in addition, establish the offense of making false statements to the Legislature, or any committee thereof, or a department or agency of the state by certain persons related to the California electricity market, as specified, and would provide the punishment for the offense would be a fine of up to $100,000 per offense, or imprisonment in the state prison for not more than 5 years, or by both that fine and imprisonment.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www.leginfo.ca.gov/cgi-bin/postquery?bill_number=sbx2_88&amp;sess=CUR&amp;house=B</w:t>
            </w:r>
          </w:p>
        </w:tc>
      </w:tr>
    </w:tbl>
    <w:p>
      <w:pPr>
        <w:pStyle w:val="Normal"/>
        <w:rPr>
          <w:rFonts w:ascii="Arial Narrow" w:hAnsi="Arial Narrow" w:cs="Arial Narrow"/>
          <w:sz w:val="16"/>
        </w:rPr>
      </w:pPr>
      <w:r>
        <w:rPr>
          <w:rFonts w:cs="Arial Narrow" w:ascii="Arial Narrow" w:hAnsi="Arial Narrow"/>
          <w:sz w:val="16"/>
        </w:rPr>
      </w:r>
    </w:p>
    <w:tbl>
      <w:tblPr>
        <w:tblW w:w="10530" w:type="dxa"/>
        <w:jc w:val="start"/>
        <w:tblInd w:w="-432" w:type="dxa"/>
        <w:tblLayout w:type="fixed"/>
        <w:tblCellMar>
          <w:top w:w="0" w:type="dxa"/>
          <w:start w:w="108" w:type="dxa"/>
          <w:bottom w:w="0" w:type="dxa"/>
          <w:end w:w="108" w:type="dxa"/>
        </w:tblCellMar>
      </w:tblPr>
      <w:tblGrid>
        <w:gridCol w:w="1530"/>
        <w:gridCol w:w="2160"/>
        <w:gridCol w:w="1710"/>
        <w:gridCol w:w="5130"/>
      </w:tblGrid>
      <w:tr>
        <w:trPr/>
        <w:tc>
          <w:tcPr>
            <w:tcW w:w="1530" w:type="dxa"/>
            <w:tcBorders/>
          </w:tcPr>
          <w:p>
            <w:pPr>
              <w:pStyle w:val="Normal"/>
              <w:rPr>
                <w:rFonts w:ascii="Arial Narrow" w:hAnsi="Arial Narrow" w:cs="Arial Narrow"/>
                <w:b/>
                <w:sz w:val="20"/>
              </w:rPr>
            </w:pPr>
            <w:r>
              <w:rPr>
                <w:rFonts w:cs="Arial Narrow" w:ascii="Arial Narrow" w:hAnsi="Arial Narrow"/>
                <w:b/>
                <w:sz w:val="20"/>
                <w:lang w:val="en-CA"/>
              </w:rPr>
              <w:t>SBX2 89</w:t>
            </w:r>
          </w:p>
        </w:tc>
        <w:tc>
          <w:tcPr>
            <w:tcW w:w="3870" w:type="dxa"/>
            <w:gridSpan w:val="2"/>
            <w:tcBorders/>
          </w:tcPr>
          <w:p>
            <w:pPr>
              <w:pStyle w:val="Normal"/>
              <w:rPr>
                <w:rFonts w:ascii="Arial Narrow" w:hAnsi="Arial Narrow" w:cs="Arial Narrow"/>
                <w:b/>
                <w:sz w:val="20"/>
              </w:rPr>
            </w:pPr>
            <w:r>
              <w:rPr>
                <w:rFonts w:cs="Arial Narrow" w:ascii="Arial Narrow" w:hAnsi="Arial Narrow"/>
                <w:b/>
                <w:sz w:val="20"/>
                <w:lang w:val="en-CA"/>
              </w:rPr>
              <w:t>Figueroa</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Introduced: 06/28/2001</w:t>
            </w:r>
          </w:p>
        </w:tc>
      </w:tr>
      <w:tr>
        <w:trPr>
          <w:trHeight w:val="531"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b/>
                <w:sz w:val="16"/>
              </w:rPr>
            </w:pPr>
            <w:r>
              <w:rPr>
                <w:rFonts w:cs="Arial Narrow" w:ascii="Arial Narrow" w:hAnsi="Arial Narrow"/>
                <w:b/>
                <w:sz w:val="16"/>
                <w:lang w:val="en-CA"/>
              </w:rPr>
              <w:t>Retaliation</w:t>
            </w:r>
          </w:p>
        </w:tc>
      </w:tr>
      <w:tr>
        <w:trPr>
          <w:trHeight w:val="594" w:hRule="atLeast"/>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2160" w:type="dxa"/>
            <w:tcBorders/>
          </w:tcPr>
          <w:p>
            <w:pPr>
              <w:pStyle w:val="Normal"/>
              <w:rPr>
                <w:rFonts w:ascii="Arial Narrow" w:hAnsi="Arial Narrow" w:cs="Arial Narrow"/>
                <w:b/>
                <w:sz w:val="16"/>
              </w:rPr>
            </w:pPr>
            <w:r>
              <w:rPr>
                <w:rFonts w:cs="Arial Narrow" w:ascii="Arial Narrow" w:hAnsi="Arial Narrow"/>
                <w:b/>
                <w:sz w:val="16"/>
              </w:rPr>
              <w:t>Status:</w:t>
            </w:r>
          </w:p>
        </w:tc>
        <w:tc>
          <w:tcPr>
            <w:tcW w:w="1710" w:type="dxa"/>
            <w:tcBorders/>
          </w:tcPr>
          <w:p>
            <w:pPr>
              <w:pStyle w:val="Normal"/>
              <w:rPr>
                <w:rFonts w:ascii="Arial Narrow" w:hAnsi="Arial Narrow" w:cs="Arial Narrow"/>
                <w:b/>
                <w:sz w:val="16"/>
              </w:rPr>
            </w:pPr>
            <w:r>
              <w:rPr>
                <w:rFonts w:cs="Arial Narrow" w:ascii="Arial Narrow" w:hAnsi="Arial Narrow"/>
                <w:sz w:val="16"/>
                <w:lang w:val="en-CA"/>
              </w:rPr>
              <w:t>08/22/2001</w:t>
            </w:r>
          </w:p>
        </w:tc>
        <w:tc>
          <w:tcPr>
            <w:tcW w:w="5130" w:type="dxa"/>
            <w:tcBorders/>
          </w:tcPr>
          <w:p>
            <w:pPr>
              <w:pStyle w:val="Normal"/>
              <w:rPr>
                <w:rFonts w:ascii="Arial Narrow" w:hAnsi="Arial Narrow" w:cs="Arial Narrow"/>
                <w:b/>
                <w:sz w:val="16"/>
              </w:rPr>
            </w:pPr>
            <w:r>
              <w:rPr>
                <w:rFonts w:cs="Arial Narrow" w:ascii="Arial Narrow" w:hAnsi="Arial Narrow"/>
                <w:sz w:val="16"/>
                <w:lang w:val="en-CA"/>
              </w:rPr>
              <w:t xml:space="preserve">9:30 a.m. - Room 2040 SENATE COMMITTEE EXTRAORDINARY LABOR AND INDUSTRIAL RELATIONS </w:t>
            </w:r>
          </w:p>
        </w:tc>
      </w:tr>
      <w:tr>
        <w:trPr/>
        <w:tc>
          <w:tcPr>
            <w:tcW w:w="1530" w:type="dxa"/>
            <w:tcBorders/>
            <w:tcMar>
              <w:start w:w="0" w:type="dxa"/>
              <w:end w:w="0" w:type="dxa"/>
            </w:tcMar>
          </w:tcPr>
          <w:p>
            <w:pPr>
              <w:pStyle w:val="Normal"/>
              <w:rPr>
                <w:rFonts w:ascii="Arial Narrow" w:hAnsi="Arial Narrow" w:cs="Arial Narrow"/>
                <w:b/>
                <w:sz w:val="16"/>
              </w:rPr>
            </w:pPr>
            <w:r>
              <w:rPr>
                <w:rFonts w:cs="Arial Narrow" w:ascii="Arial Narrow" w:hAnsi="Arial Narrow"/>
                <w:b/>
                <w:sz w:val="16"/>
              </w:rPr>
            </w:r>
          </w:p>
        </w:tc>
        <w:tc>
          <w:tcPr>
            <w:tcW w:w="9000" w:type="dxa"/>
            <w:gridSpan w:val="3"/>
            <w:tcBorders/>
          </w:tcPr>
          <w:p>
            <w:pPr>
              <w:pStyle w:val="Normal"/>
              <w:rPr>
                <w:rFonts w:ascii="Arial Narrow" w:hAnsi="Arial Narrow" w:cs="Arial Narrow"/>
                <w:sz w:val="16"/>
              </w:rPr>
            </w:pPr>
            <w:r>
              <w:rPr>
                <w:rFonts w:cs="Arial Narrow" w:ascii="Arial Narrow" w:hAnsi="Arial Narrow"/>
                <w:i/>
                <w:sz w:val="16"/>
                <w:lang w:val="en-CA"/>
              </w:rPr>
              <w:t>Existing law, commonly referred to as the 'whistle blower's statute,' prohibits employers from retaliating against employees who, with reasonable cause, disclose information about the employer's violation of state or federal law and from establishing policies that prevent employees from disclosing violations of law. Existing law imposes penalties against employers who violate those provisions. This bill would expand existing law to prohibit employers from retaliating against employees, independent contractors, or agents of persons or businesses engaged in the electricity or electricity ancillary services market who, with reasonable cause, disclose to specified entities information about a possible fraud, false claim, anti-competitive practice, unlawful market manipulation or violation of state or federal law or from establishing policies that prevent individuals from disclosing that information. By making violations of its provisions a felony, the bill would impose a state-mandated local program. This bill contains other related provisions and other existing laws.</w:t>
            </w:r>
          </w:p>
        </w:tc>
      </w:tr>
    </w:tbl>
    <w:p>
      <w:pPr>
        <w:pStyle w:val="Normal"/>
        <w:rPr>
          <w:rFonts w:ascii="Arial Narrow" w:hAnsi="Arial Narrow" w:cs="Arial Narrow"/>
          <w:sz w:val="16"/>
        </w:rPr>
      </w:pPr>
      <w:r>
        <w:rPr>
          <w:rFonts w:cs="Arial Narrow" w:ascii="Arial Narrow" w:hAnsi="Arial Narrow"/>
          <w:sz w:val="16"/>
        </w:rPr>
      </w:r>
    </w:p>
    <w:tbl>
      <w:tblPr>
        <w:tblW w:w="9000" w:type="dxa"/>
        <w:jc w:val="start"/>
        <w:tblInd w:w="1098" w:type="dxa"/>
        <w:tblLayout w:type="fixed"/>
        <w:tblCellMar>
          <w:top w:w="0" w:type="dxa"/>
          <w:start w:w="108" w:type="dxa"/>
          <w:bottom w:w="0" w:type="dxa"/>
          <w:end w:w="108" w:type="dxa"/>
        </w:tblCellMar>
      </w:tblPr>
      <w:tblGrid>
        <w:gridCol w:w="9000"/>
      </w:tblGrid>
      <w:tr>
        <w:trPr>
          <w:trHeight w:val="216" w:hRule="atLeast"/>
        </w:trPr>
        <w:tc>
          <w:tcPr>
            <w:tcW w:w="9000" w:type="dxa"/>
            <w:tcBorders/>
          </w:tcPr>
          <w:p>
            <w:pPr>
              <w:pStyle w:val="Normal"/>
              <w:rPr>
                <w:rFonts w:ascii="Arial Narrow" w:hAnsi="Arial Narrow" w:cs="Arial Narrow"/>
                <w:sz w:val="16"/>
              </w:rPr>
            </w:pPr>
            <w:r>
              <w:rPr>
                <w:rFonts w:cs="Arial Narrow" w:ascii="Arial Narrow" w:hAnsi="Arial Narrow"/>
                <w:i/>
                <w:sz w:val="16"/>
                <w:lang w:val="en-CA"/>
              </w:rPr>
              <w:t>www.leginfo.ca.gov/cgi-bin/postquery?bill_number=sbx2_89&amp;sess=CUR&amp;house=B</w:t>
            </w:r>
          </w:p>
        </w:tc>
      </w:tr>
    </w:tbl>
    <w:p>
      <w:pPr>
        <w:pStyle w:val="Normal"/>
        <w:rPr>
          <w:rFonts w:ascii="Arial Narrow" w:hAnsi="Arial Narrow" w:cs="Arial Narrow"/>
          <w:sz w:val="16"/>
        </w:rPr>
      </w:pPr>
      <w:r>
        <w:rPr>
          <w:rFonts w:cs="Arial Narrow" w:ascii="Arial Narrow" w:hAnsi="Arial Narrow"/>
          <w:sz w:val="16"/>
        </w:rPr>
      </w:r>
    </w:p>
    <w:sectPr>
      <w:headerReference w:type="default" r:id="rId4"/>
      <w:headerReference w:type="first" r:id="rId5"/>
      <w:footerReference w:type="default" r:id="rId6"/>
      <w:footerReference w:type="first" r:id="rId7"/>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ind w:end="360"/>
      <w:rPr/>
    </w:pPr>
    <w:r>
      <w:rPr/>
      <w:t>Manatt, Phelps &amp; Phillips, LLP</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Manatt, Phelps &amp; Phillips, LLP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LHVersion" w:val="2000a"/>
    <w:docVar w:name="zzmpFixed_MacPacVersion" w:val="97"/>
    <w:docVar w:name="zzmpFixedDOC_ID" w:val="1000129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Indent">
    <w:name w:val="Body Text Indent"/>
    <w:basedOn w:val="BodyText"/>
    <w:next w:val="BodyText"/>
    <w:pPr>
      <w:ind w:hanging="0" w:start="72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Normal"/>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Normal"/>
    <w:qFormat/>
    <w:pPr>
      <w:spacing w:before="0" w:after="240"/>
      <w:ind w:hanging="0" w:start="1440" w:end="1440"/>
    </w:pPr>
    <w:rPr/>
  </w:style>
  <w:style w:type="paragraph" w:styleId="Centered">
    <w:name w:val="Centered"/>
    <w:basedOn w:val="Normal"/>
    <w:next w:val="Normal"/>
    <w:qFormat/>
    <w:pPr>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L00-F05-SS">
    <w:name w:val="L00-F05-SS"/>
    <w:basedOn w:val="Normal"/>
    <w:qFormat/>
    <w:pPr>
      <w:spacing w:before="0" w:after="240"/>
      <w:ind w:firstLine="720" w:start="0" w:end="0"/>
    </w:pPr>
    <w:rPr/>
  </w:style>
  <w:style w:type="paragraph" w:styleId="L00-F05-DS">
    <w:name w:val="L00-F05-DS"/>
    <w:basedOn w:val="Normal"/>
    <w:qFormat/>
    <w:pPr>
      <w:spacing w:lineRule="auto" w:line="480"/>
      <w:ind w:firstLine="720" w:start="0" w:end="0"/>
    </w:pPr>
    <w:rPr/>
  </w:style>
  <w:style w:type="paragraph" w:styleId="L00-F10-SS">
    <w:name w:val="L00-F10-SS"/>
    <w:basedOn w:val="Normal"/>
    <w:qFormat/>
    <w:pPr>
      <w:spacing w:before="0" w:after="240"/>
      <w:ind w:firstLine="1440" w:start="0" w:end="0"/>
    </w:pPr>
    <w:rPr/>
  </w:style>
  <w:style w:type="paragraph" w:styleId="L00-F10-DS">
    <w:name w:val="L00-F10-DS"/>
    <w:basedOn w:val="Normal"/>
    <w:qFormat/>
    <w:pPr>
      <w:spacing w:lineRule="auto" w:line="480"/>
      <w:ind w:firstLine="1440" w:start="0" w:end="0"/>
    </w:pPr>
    <w:rPr/>
  </w:style>
  <w:style w:type="paragraph" w:styleId="L05-F05-SS">
    <w:name w:val="L05-F05-SS"/>
    <w:basedOn w:val="Normal"/>
    <w:qFormat/>
    <w:pPr>
      <w:spacing w:before="0" w:after="240"/>
      <w:ind w:firstLine="720" w:start="720" w:end="0"/>
    </w:pPr>
    <w:rPr/>
  </w:style>
  <w:style w:type="paragraph" w:styleId="L05-F05-DS">
    <w:name w:val="L05-F05-DS"/>
    <w:basedOn w:val="Normal"/>
    <w:qFormat/>
    <w:pPr>
      <w:spacing w:lineRule="auto" w:line="480"/>
      <w:ind w:firstLine="720" w:start="720" w:end="0"/>
    </w:pPr>
    <w:rPr/>
  </w:style>
  <w:style w:type="paragraph" w:styleId="L10-F10-SS">
    <w:name w:val="L10-F10-SS"/>
    <w:basedOn w:val="Normal"/>
    <w:qFormat/>
    <w:pPr>
      <w:spacing w:before="0" w:after="240"/>
      <w:ind w:firstLine="720" w:start="1440" w:end="0"/>
    </w:pPr>
    <w:rPr/>
  </w:style>
  <w:style w:type="paragraph" w:styleId="L10-F10-DS">
    <w:name w:val="L10-F10-DS"/>
    <w:basedOn w:val="Normal"/>
    <w:qFormat/>
    <w:pPr>
      <w:spacing w:lineRule="auto" w:line="480"/>
      <w:ind w:firstLine="720" w:start="1440" w:end="0"/>
    </w:pPr>
    <w:rPr/>
  </w:style>
  <w:style w:type="paragraph" w:styleId="L05-F00-SS">
    <w:name w:val="L05-F00-SS"/>
    <w:basedOn w:val="Normal"/>
    <w:qFormat/>
    <w:pPr>
      <w:spacing w:before="0" w:after="240"/>
      <w:ind w:hanging="0" w:start="720" w:end="0"/>
    </w:pPr>
    <w:rPr/>
  </w:style>
  <w:style w:type="paragraph" w:styleId="L05-F00-DS">
    <w:name w:val="L05-F00-DS"/>
    <w:basedOn w:val="Normal"/>
    <w:qFormat/>
    <w:pPr>
      <w:spacing w:lineRule="auto" w:line="480"/>
      <w:ind w:hanging="0" w:start="720" w:end="0"/>
    </w:pPr>
    <w:rPr/>
  </w:style>
  <w:style w:type="paragraph" w:styleId="L10-F00-SS">
    <w:name w:val="L10-F00-SS"/>
    <w:basedOn w:val="Normal"/>
    <w:qFormat/>
    <w:pPr>
      <w:spacing w:before="0" w:after="240"/>
      <w:ind w:hanging="0" w:start="1440" w:end="0"/>
    </w:pPr>
    <w:rPr/>
  </w:style>
  <w:style w:type="paragraph" w:styleId="L10-F00-DS">
    <w:name w:val="L10-F00-DS"/>
    <w:basedOn w:val="Normal"/>
    <w:qFormat/>
    <w:pPr>
      <w:spacing w:lineRule="auto" w:line="480"/>
      <w:ind w:hanging="0" w:start="1440" w:end="0"/>
    </w:pPr>
    <w:rPr/>
  </w:style>
  <w:style w:type="paragraph" w:styleId="L15-F00-SS">
    <w:name w:val="L15-F00-SS"/>
    <w:basedOn w:val="Normal"/>
    <w:qFormat/>
    <w:pPr>
      <w:spacing w:before="0" w:after="240"/>
      <w:ind w:hanging="0" w:start="2160" w:end="0"/>
    </w:pPr>
    <w:rPr/>
  </w:style>
  <w:style w:type="paragraph" w:styleId="L15-F00-DS">
    <w:name w:val="L15-F00-DS"/>
    <w:basedOn w:val="Normal"/>
    <w:qFormat/>
    <w:pPr>
      <w:spacing w:lineRule="auto" w:line="480"/>
      <w:ind w:hanging="0" w:start="2160" w:end="0"/>
    </w:pPr>
    <w:rPr/>
  </w:style>
  <w:style w:type="paragraph" w:styleId="LR05-F00-SS">
    <w:name w:val="LR05-F00-SS"/>
    <w:basedOn w:val="Normal"/>
    <w:qFormat/>
    <w:pPr>
      <w:spacing w:before="0" w:after="240"/>
      <w:ind w:hanging="0" w:start="720" w:end="720"/>
    </w:pPr>
    <w:rPr/>
  </w:style>
  <w:style w:type="paragraph" w:styleId="LR05-F00-DS">
    <w:name w:val="LR05-F00-DS"/>
    <w:basedOn w:val="Normal"/>
    <w:qFormat/>
    <w:pPr>
      <w:spacing w:lineRule="auto" w:line="480"/>
      <w:ind w:hanging="0" w:start="720" w:end="720"/>
    </w:pPr>
    <w:rPr/>
  </w:style>
  <w:style w:type="paragraph" w:styleId="LR10-F00-SS">
    <w:name w:val="LR10-F00-SS"/>
    <w:basedOn w:val="Normal"/>
    <w:qFormat/>
    <w:pPr>
      <w:spacing w:before="0" w:after="240"/>
      <w:ind w:hanging="0" w:start="1440" w:end="1440"/>
    </w:pPr>
    <w:rPr/>
  </w:style>
  <w:style w:type="paragraph" w:styleId="LR10-F00-DS">
    <w:name w:val="LR10-F00-DS"/>
    <w:basedOn w:val="Normal"/>
    <w:qFormat/>
    <w:pPr>
      <w:spacing w:lineRule="auto" w:line="480"/>
      <w:ind w:hanging="0" w:start="1440" w:end="1440"/>
    </w:pPr>
    <w:rPr/>
  </w:style>
  <w:style w:type="paragraph" w:styleId="L00-F00-SS">
    <w:name w:val="L00-F00-SS"/>
    <w:basedOn w:val="Normal"/>
    <w:qFormat/>
    <w:pPr>
      <w:spacing w:before="0" w:after="240"/>
    </w:pPr>
    <w:rPr/>
  </w:style>
  <w:style w:type="paragraph" w:styleId="L00-F00-DS">
    <w:name w:val="L00-F00-DS"/>
    <w:basedOn w:val="Normal"/>
    <w:qFormat/>
    <w:pPr>
      <w:spacing w:lineRule="auto" w:line="480"/>
    </w:pPr>
    <w:rPr/>
  </w:style>
  <w:style w:type="paragraph" w:styleId="BusinessSignature">
    <w:name w:val="Business Signature"/>
    <w:basedOn w:val="Normal"/>
    <w:qFormat/>
    <w:pPr>
      <w:tabs>
        <w:tab w:val="left" w:pos="720" w:leader="none"/>
        <w:tab w:val="right" w:pos="432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2001-07-05T16:36:00Z</dcterms:created>
  <dc:creator>Michael R. Martinez</dc:creator>
  <dc:description/>
  <dc:language>en-CA</dc:language>
  <cp:lastModifiedBy>Michael R. Martinez</cp:lastModifiedBy>
  <cp:lastPrinted>2001-07-26T15:55:00Z</cp:lastPrinted>
  <dcterms:modified xsi:type="dcterms:W3CDTF">2001-07-26T20:26:00Z</dcterms:modified>
  <cp:revision>22</cp:revision>
  <dc:subject/>
  <dc:title> </dc:title>
</cp:coreProperties>
</file>