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97280" cy="678815"/>
            <wp:effectExtent l="0" t="0" r="0" b="0"/>
            <wp:docPr id="1" name="MPP%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20LOGO" descr="" title=""/>
                    <pic:cNvPicPr>
                      <a:picLocks noChangeAspect="1" noChangeArrowheads="1"/>
                    </pic:cNvPicPr>
                  </pic:nvPicPr>
                  <pic:blipFill>
                    <a:blip r:embed="rId2"/>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rPr>
      </w:pPr>
      <w:r>
        <w:rPr>
          <w:rFonts w:cs="Arial" w:ascii="Arial" w:hAnsi="Arial"/>
          <w:b/>
          <w:sz w:val="28"/>
        </w:rPr>
        <w:t>Independent Energy Producers Association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mallCaps/>
          <w:sz w:val="26"/>
        </w:rPr>
      </w:pPr>
      <w:r>
        <w:rPr>
          <w:rFonts w:cs="Arial" w:ascii="Arial" w:hAnsi="Arial"/>
          <w:b/>
          <w:smallCaps/>
          <w:sz w:val="26"/>
        </w:rPr>
        <w:t>Legislative Bill Report</w:t>
      </w:r>
    </w:p>
    <w:p>
      <w:pPr>
        <w:pStyle w:val="Normal"/>
        <w:jc w:val="center"/>
        <w:rPr>
          <w:rFonts w:ascii="Arial" w:hAnsi="Arial" w:cs="Arial"/>
          <w:b/>
          <w:smallCaps/>
          <w:sz w:val="26"/>
        </w:rPr>
      </w:pPr>
      <w:r>
        <w:rPr>
          <w:rFonts w:cs="Arial" w:ascii="Arial" w:hAnsi="Arial"/>
          <w:b/>
          <w:smallCaps/>
          <w:sz w:val="26"/>
        </w:rPr>
        <w:t>July 19, 2001</w:t>
      </w:r>
    </w:p>
    <w:p>
      <w:pPr>
        <w:pStyle w:val="Normal"/>
        <w:jc w:val="center"/>
        <w:rPr>
          <w:rFonts w:ascii="Arial" w:hAnsi="Arial" w:cs="Arial"/>
          <w:b/>
          <w:smallCaps/>
          <w:sz w:val="28"/>
        </w:rPr>
      </w:pPr>
      <w:r>
        <w:rPr>
          <w:rFonts w:cs="Arial" w:ascii="Arial" w:hAnsi="Arial"/>
          <w:b/>
          <w:smallCaps/>
          <w:sz w:val="28"/>
        </w:rPr>
      </w:r>
    </w:p>
    <w:tbl>
      <w:tblPr>
        <w:tblW w:w="10170" w:type="dxa"/>
        <w:jc w:val="start"/>
        <w:tblInd w:w="-252" w:type="dxa"/>
        <w:tblLayout w:type="fixed"/>
        <w:tblCellMar>
          <w:top w:w="0" w:type="dxa"/>
          <w:start w:w="108" w:type="dxa"/>
          <w:bottom w:w="0" w:type="dxa"/>
          <w:end w:w="108" w:type="dxa"/>
        </w:tblCellMar>
      </w:tblPr>
      <w:tblGrid>
        <w:gridCol w:w="1170"/>
        <w:gridCol w:w="1260"/>
        <w:gridCol w:w="1710"/>
        <w:gridCol w:w="2160"/>
        <w:gridCol w:w="3870"/>
      </w:tblGrid>
      <w:tr>
        <w:trPr/>
        <w:tc>
          <w:tcPr>
            <w:tcW w:w="117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Priority</w:t>
            </w:r>
          </w:p>
        </w:tc>
        <w:tc>
          <w:tcPr>
            <w:tcW w:w="126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w:t>
            </w:r>
          </w:p>
        </w:tc>
        <w:tc>
          <w:tcPr>
            <w:tcW w:w="171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Author</w:t>
            </w:r>
          </w:p>
        </w:tc>
        <w:tc>
          <w:tcPr>
            <w:tcW w:w="216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 Title</w:t>
            </w:r>
          </w:p>
        </w:tc>
        <w:tc>
          <w:tcPr>
            <w:tcW w:w="387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 Status</w:t>
            </w:r>
          </w:p>
        </w:tc>
      </w:tr>
      <w:tr>
        <w:trPr/>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rPr>
              <w:t>Urgent</w:t>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 57</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Electrical energy: contracts</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07/18/2001</w:t>
            </w:r>
            <w:r>
              <w:rPr>
                <w:rFonts w:cs="Arial Narrow" w:ascii="Arial Narrow" w:hAnsi="Arial Narrow"/>
                <w:sz w:val="20"/>
              </w:rPr>
              <w:t xml:space="preserve">  </w:t>
            </w:r>
            <w:r>
              <w:rPr>
                <w:rFonts w:cs="Arial Narrow" w:ascii="Arial Narrow" w:hAnsi="Arial Narrow"/>
                <w:sz w:val="20"/>
                <w:lang w:val="en-CA"/>
              </w:rPr>
              <w:t>SEN ENERGY, UTILITIES, AND COMMUNICATIONS  Read second time amended and re-referred to Com. on APPR.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 81</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Property taxation: state-assessed property</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SEN APPROPRIATIONS  Read second time amended and re-referred to Com. on APPR.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ABX2 2</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Corbett</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Excess Gross Receipts From Electrical Energy Distribution Tax</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07/19/2001</w:t>
            </w:r>
            <w:r>
              <w:rPr>
                <w:rFonts w:cs="Arial Narrow" w:ascii="Arial Narrow" w:hAnsi="Arial Narrow"/>
                <w:sz w:val="20"/>
              </w:rPr>
              <w:t xml:space="preserve">  </w:t>
            </w:r>
            <w:r>
              <w:rPr>
                <w:rFonts w:cs="Arial Narrow" w:ascii="Arial Narrow" w:hAnsi="Arial Narrow"/>
                <w:sz w:val="20"/>
                <w:lang w:val="en-CA"/>
              </w:rPr>
              <w:t>#3 ASSEMBLY EXTRAORDINARY ASSEMBLY THIRD READING FILE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9</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aggregation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10</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generating facilities: certification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ABX2 28</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Electrical restructuring: Oversight Board: Independent System Operator</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SEN ENERGY, UTILITIES, AND COMMUNICATIONS  Do pass as amended and re-refer to the Committee on Appropriations.</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ABX2 35</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California Consumer Power and Conservation Financing Authority: electrical energy: eminent domain</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07/16/2001</w:t>
            </w:r>
            <w:r>
              <w:rPr>
                <w:rFonts w:cs="Arial Narrow" w:ascii="Arial Narrow" w:hAnsi="Arial Narrow"/>
                <w:sz w:val="20"/>
              </w:rPr>
              <w:t xml:space="preserve">  </w:t>
            </w:r>
            <w:r>
              <w:rPr>
                <w:rFonts w:cs="Arial Narrow" w:ascii="Arial Narrow" w:hAnsi="Arial Narrow"/>
                <w:sz w:val="20"/>
                <w:lang w:val="en-CA"/>
              </w:rPr>
              <w:t>ASM ENERGY COSTS AND AVAILABILITY  Set second hearing. Hearing cancelled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44</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renewable energy and cogeneration powerplants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ASM NATURAL RESOURCES  In committee: Set first hearing. Hearing canceled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51</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Reyes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07/10/2001</w:t>
            </w:r>
            <w:r>
              <w:rPr>
                <w:rFonts w:cs="Arial Narrow" w:ascii="Arial Narrow" w:hAnsi="Arial Narrow"/>
                <w:sz w:val="20"/>
              </w:rPr>
              <w:t xml:space="preserve">  </w:t>
            </w:r>
            <w:r>
              <w:rPr>
                <w:rFonts w:cs="Arial Narrow" w:ascii="Arial Narrow" w:hAnsi="Arial Narrow"/>
                <w:sz w:val="20"/>
                <w:lang w:val="en-CA"/>
              </w:rPr>
              <w:t>ASM ENERGY COSTS AND AVAILABILITY  From committee: Amend do pass as amended and re-refer to Com. on E. C. &amp; A. Ayes 7. Noes 0. July 3 .</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65</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Cardoza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Fuel: illegal business practices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07/11/2001</w:t>
            </w:r>
            <w:r>
              <w:rPr>
                <w:rFonts w:cs="Arial Narrow" w:ascii="Arial Narrow" w:hAnsi="Arial Narrow"/>
                <w:sz w:val="20"/>
              </w:rPr>
              <w:t xml:space="preserve">  </w:t>
            </w:r>
            <w:r>
              <w:rPr>
                <w:rFonts w:cs="Arial Narrow" w:ascii="Arial Narrow" w:hAnsi="Arial Narrow"/>
                <w:sz w:val="20"/>
                <w:lang w:val="en-CA"/>
              </w:rPr>
              <w:t>ASM APPROPRIATIONS  Do pass as amended.</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Infrastructure and Economic Development Bank Fund: appropriation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06/18/2001</w:t>
            </w:r>
            <w:r>
              <w:rPr>
                <w:rFonts w:cs="Arial Narrow" w:ascii="Arial Narrow" w:hAnsi="Arial Narrow"/>
                <w:sz w:val="20"/>
              </w:rPr>
              <w:t xml:space="preserve">  </w:t>
            </w:r>
            <w:r>
              <w:rPr>
                <w:rFonts w:cs="Arial Narrow" w:ascii="Arial Narrow" w:hAnsi="Arial Narrow"/>
                <w:sz w:val="20"/>
                <w:lang w:val="en-CA"/>
              </w:rPr>
              <w:t>ASM APPROPRIATIONS  Referred to Coms. on E. C. &amp; A. and J. E.D. &amp; E.</w:t>
            </w:r>
          </w:p>
        </w:tc>
      </w:tr>
      <w:tr>
        <w:trPr/>
        <w:tc>
          <w:tcPr>
            <w:tcW w:w="1170" w:type="dxa"/>
            <w:tcBorders>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ABX2 82</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Keeley</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Electric Utility Rate Stabilization Act of 2001</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07/19/2001</w:t>
            </w:r>
            <w:r>
              <w:rPr>
                <w:rFonts w:cs="Arial Narrow" w:ascii="Arial Narrow" w:hAnsi="Arial Narrow"/>
                <w:sz w:val="20"/>
              </w:rPr>
              <w:t xml:space="preserve">  </w:t>
            </w:r>
            <w:r>
              <w:rPr>
                <w:rFonts w:cs="Arial Narrow" w:ascii="Arial Narrow" w:hAnsi="Arial Narrow"/>
                <w:sz w:val="20"/>
                <w:lang w:val="en-CA"/>
              </w:rPr>
              <w:t>#1 ASSEMBLY EXTRAORDINARY ASSEMBLY SECOND READING FILE</w:t>
            </w:r>
          </w:p>
        </w:tc>
      </w:tr>
    </w:tbl>
    <w:p>
      <w:pPr>
        <w:pStyle w:val="Normal"/>
        <w:rPr/>
      </w:pPr>
      <w:r>
        <w:br w:type="page"/>
      </w:r>
      <w:r>
        <w:rPr/>
      </w:r>
    </w:p>
    <w:tbl>
      <w:tblPr>
        <w:tblW w:w="10170" w:type="dxa"/>
        <w:jc w:val="start"/>
        <w:tblInd w:w="-252" w:type="dxa"/>
        <w:tblLayout w:type="fixed"/>
        <w:tblCellMar>
          <w:top w:w="0" w:type="dxa"/>
          <w:start w:w="108" w:type="dxa"/>
          <w:bottom w:w="0" w:type="dxa"/>
          <w:end w:w="108" w:type="dxa"/>
        </w:tblCellMar>
      </w:tblPr>
      <w:tblGrid>
        <w:gridCol w:w="1170"/>
        <w:gridCol w:w="1260"/>
        <w:gridCol w:w="1710"/>
        <w:gridCol w:w="2160"/>
        <w:gridCol w:w="3870"/>
      </w:tblGrid>
      <w:tr>
        <w:trPr/>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rPr>
              <w:t>Urgent (cont.)</w:t>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ABX2 83</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Alternative Electric Utility Rate Stabilization Act of 2001</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Read first time. To print.</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996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1126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and corporation taxes: electrical windfall profits tax: consumer credit</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07/09/2001</w:t>
            </w:r>
            <w:r>
              <w:rPr>
                <w:rFonts w:cs="Arial Narrow" w:ascii="Arial Narrow" w:hAnsi="Arial Narrow"/>
                <w:sz w:val="20"/>
              </w:rPr>
              <w:t xml:space="preserve">  </w:t>
            </w:r>
            <w:r>
              <w:rPr>
                <w:rFonts w:cs="Arial Narrow" w:ascii="Arial Narrow" w:hAnsi="Arial Narrow"/>
                <w:sz w:val="20"/>
                <w:lang w:val="en-CA"/>
              </w:rPr>
              <w:t>ASM REVENUE AND TAXATION  Hearing postponed by committee.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SBX2 18</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Burton</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Department of Water Resources: electricity: bond financing order</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07/19/2001</w:t>
            </w:r>
            <w:r>
              <w:rPr>
                <w:rFonts w:cs="Arial Narrow" w:ascii="Arial Narrow" w:hAnsi="Arial Narrow"/>
                <w:sz w:val="20"/>
              </w:rPr>
              <w:t xml:space="preserve">  </w:t>
            </w:r>
            <w:r>
              <w:rPr>
                <w:rFonts w:cs="Arial Narrow" w:ascii="Arial Narrow" w:hAnsi="Arial Narrow"/>
                <w:sz w:val="20"/>
                <w:lang w:val="en-CA"/>
              </w:rPr>
              <w:t xml:space="preserve">Upon adjournment of E.U. &amp; C Committee - Room 3191 SENATE COMMITTEE EXTRAORDINARY APPROPRIATIONS </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SBX2 39</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Public Utilities</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ASM ENERGY COSTS AND AVAILABILITY  Reconsideration granted.</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L.GOV. and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SBX2 86</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Peace</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Powerplant facility and site certification</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07/18/2001</w:t>
            </w:r>
            <w:r>
              <w:rPr>
                <w:rFonts w:cs="Arial Narrow" w:ascii="Arial Narrow" w:hAnsi="Arial Narrow"/>
                <w:sz w:val="20"/>
              </w:rPr>
              <w:t xml:space="preserve">  </w:t>
            </w:r>
            <w:r>
              <w:rPr>
                <w:rFonts w:cs="Arial Narrow" w:ascii="Arial Narrow" w:hAnsi="Arial Narrow"/>
                <w:sz w:val="20"/>
                <w:lang w:val="en-CA"/>
              </w:rPr>
              <w:t>#1 SENATE EXTRAORDINARY SENATE BILLS-SECOND READING FILE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Figueroa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False statements: penalty</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07/03/2001</w:t>
            </w:r>
            <w:r>
              <w:rPr>
                <w:rFonts w:cs="Arial Narrow" w:ascii="Arial Narrow" w:hAnsi="Arial Narrow"/>
                <w:sz w:val="20"/>
              </w:rPr>
              <w:t xml:space="preserve">  </w:t>
            </w:r>
            <w:r>
              <w:rPr>
                <w:rFonts w:cs="Arial Narrow" w:ascii="Arial Narrow" w:hAnsi="Arial Narrow"/>
                <w:sz w:val="20"/>
                <w:lang w:val="en-CA"/>
              </w:rPr>
              <w:t>SEN PUBLIC SAFETY  To Com. on PUB. S.</w:t>
            </w:r>
          </w:p>
        </w:tc>
      </w:tr>
      <w:tr>
        <w:trPr/>
        <w:tc>
          <w:tcPr>
            <w:tcW w:w="1170" w:type="dxa"/>
            <w:tcBorders>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SBX2 89</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Figueroa</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Retaliation</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08/22/2001</w:t>
            </w:r>
            <w:r>
              <w:rPr>
                <w:rFonts w:cs="Arial Narrow" w:ascii="Arial Narrow" w:hAnsi="Arial Narrow"/>
                <w:sz w:val="20"/>
              </w:rPr>
              <w:t xml:space="preserve">  </w:t>
            </w:r>
            <w:r>
              <w:rPr>
                <w:rFonts w:cs="Arial Narrow" w:ascii="Arial Narrow" w:hAnsi="Arial Narrow"/>
                <w:sz w:val="20"/>
                <w:lang w:val="en-CA"/>
              </w:rPr>
              <w:t xml:space="preserve">9:30 a.m. - Room 2040 SENATE COMMITTEE EXTRAORDINARY LABOR AND INDUSTRIAL RELATIONS </w:t>
            </w:r>
          </w:p>
        </w:tc>
      </w:tr>
    </w:tbl>
    <w:p>
      <w:pPr>
        <w:pStyle w:val="Normal"/>
        <w:rPr/>
      </w:pPr>
      <w:r>
        <w:rPr/>
      </w:r>
    </w:p>
    <w:p>
      <w:pPr>
        <w:pStyle w:val="Normal"/>
        <w:rPr/>
      </w:pPr>
      <w:r>
        <w:rPr/>
      </w:r>
      <w:r>
        <w:br w:type="page"/>
      </w:r>
    </w:p>
    <w:p>
      <w:pPr>
        <w:pStyle w:val="Normal"/>
        <w:rPr/>
      </w:pPr>
      <w:r>
        <w:rPr/>
        <w:drawing>
          <wp:inline distT="0" distB="0" distL="0" distR="0">
            <wp:extent cx="1097280" cy="67881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b/>
          <w:smallCaps/>
          <w:sz w:val="26"/>
        </w:rPr>
      </w:pPr>
      <w:r>
        <w:rPr>
          <w:rFonts w:cs="Arial" w:ascii="Arial" w:hAnsi="Arial"/>
          <w:b/>
          <w:smallCaps/>
          <w:sz w:val="26"/>
        </w:rPr>
        <w:t>Legislative Bill Summaries</w:t>
      </w:r>
    </w:p>
    <w:p>
      <w:pPr>
        <w:pStyle w:val="Normal"/>
        <w:jc w:val="center"/>
        <w:rPr>
          <w:rFonts w:ascii="Arial" w:hAnsi="Arial" w:cs="Arial"/>
          <w:b/>
          <w:smallCaps/>
          <w:sz w:val="26"/>
        </w:rPr>
      </w:pPr>
      <w:r>
        <w:rPr>
          <w:rFonts w:cs="Arial" w:ascii="Arial" w:hAnsi="Arial"/>
          <w:b/>
          <w:smallCaps/>
          <w:sz w:val="26"/>
        </w:rPr>
        <w:t>July 19, 2001</w:t>
      </w:r>
    </w:p>
    <w:p>
      <w:pPr>
        <w:pStyle w:val="Normal"/>
        <w:rPr>
          <w:rFonts w:ascii="Arial" w:hAnsi="Arial" w:cs="Arial"/>
          <w:b/>
          <w:smallCaps/>
          <w:sz w:val="26"/>
        </w:rPr>
      </w:pPr>
      <w:r>
        <w:rPr>
          <w:rFonts w:cs="Arial" w:ascii="Arial" w:hAnsi="Arial"/>
          <w:b/>
          <w:smallCaps/>
          <w:sz w:val="26"/>
        </w:rPr>
      </w:r>
    </w:p>
    <w:p>
      <w:pPr>
        <w:pStyle w:val="Normal"/>
        <w:jc w:val="center"/>
        <w:rPr>
          <w:rFonts w:ascii="Arial" w:hAnsi="Arial" w:cs="Arial"/>
          <w:b/>
          <w:smallCaps/>
          <w:sz w:val="26"/>
        </w:rPr>
      </w:pPr>
      <w:r>
        <w:rPr>
          <w:rFonts w:cs="Arial" w:ascii="Arial" w:hAnsi="Arial"/>
          <w:b/>
          <w:smallCaps/>
          <w:sz w:val="26"/>
        </w:rPr>
        <w:t>“</w:t>
      </w:r>
      <w:r>
        <w:rPr>
          <w:rFonts w:cs="Arial" w:ascii="Arial" w:hAnsi="Arial"/>
          <w:b/>
          <w:smallCaps/>
          <w:sz w:val="26"/>
        </w:rPr>
        <w:t>Urgent” Bill Summaries</w:t>
      </w:r>
    </w:p>
    <w:p>
      <w:pPr>
        <w:pStyle w:val="Normal"/>
        <w:jc w:val="center"/>
        <w:rPr>
          <w:rFonts w:ascii="Arial" w:hAnsi="Arial" w:cs="Arial"/>
          <w:b/>
          <w:smallCaps/>
          <w:sz w:val="26"/>
        </w:rPr>
      </w:pPr>
      <w:r>
        <w:rPr>
          <w:rFonts w:cs="Arial" w:ascii="Arial" w:hAnsi="Arial"/>
          <w:b/>
          <w:smallCaps/>
          <w:sz w:val="2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Read second time amended and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imposes various duties and responsibilities on the Public Utilities Commission with respect to the purchase of electricity. This bill would state findings and declarations regarding short-term and long-term contracts for the purchase of electricity and would state the intent of the Legislature with respect to the procurement of electricity by an electrical corporation. The bill would declare the intent of the Legislature that an electrical corporation, as defined, shall create a diversified procurement portfolio consisting of both short-term and long-term electricity and electricity related products.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Property taxation: state-assessed property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Read second time amended and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Constitution requires the State Board of Equalization to assess the property, other than franchises, of companies transmitting or selling gas or electricity. Existing regulations require the board to assess an electric generation facility, for purposes of this constitutional provision, only if (1) the facility was constructed pursuant to a certificate of public convenience and necessity issued by the California Public Utilities Commission to the company that presently owns the facility or (2) the company owning the facility is a state assessee for reasons other than its ownership of the generation facility or its ownership of pipelines, flumes, canals, ditches, or aqueducts lying within 2 or more counties. This bill would require the board to annually assess electric generation facilities, with specified exceptions, with a generating capacity of 50 megawatts or more that is owned by an electrical corporation, as defined.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Corbett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06/12/2001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Excess Gross Receipts From Electrical Energy Distribution Tax</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#3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imposes a tax measured by income upon every resident of this state. The Bank and Corporation Tax Law imposes a tax measured by income upon every corporation doing business in, or deriving income from, this state. This bill would impose the Excess Gross Receipts From Electrical Energy Distribution Tax on sales of electricity in this state in an amount equal to the applicable percentage of the portion of the sales price of electricity that exceeds the base price, as defined.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aggregation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transactions between electricity suppliers and end-use customers, authorizes specified entities to aggregate electrical loads, and defines an 'aggregator' as one of those specified entities that provides specified power supply services, including combining the loads of multiple end-use customers and facilitating the sale and purchase of electrical energy, transmission, and other services on behalf of the end-use customers.  This bill would, instead, authorize customers to aggregate their electric loads as individual consumers with private aggregators, as defined, or as members of their local community with community choice aggregators, as defined. The bill would, with regard to community choice aggregators, authorize any municipality or any group of municipalities acting together to aggregate the electrical load of interested electricity consumers within its boundaries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generating facilities: certification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approve the siting of electrical generating facilities, as specified. This bill would require, as a condition of certification by the commission, that an applicant offer to enter into a contract to sell to an electrical corporation, a municipal corporation, or the Department of Water Resources, electrical power generated by the facility at its initial and continuing available capacity pursuant to specified terms. The bill would require the commission to adopt rules and regulations for these purposes.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Oversight Board: 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Do pass as amended and re-refer to the Committee on Appropriations.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existing restructuring of the electrical services industry within the Public Utilities Act provides for the establishment of an Independent System Operator and a Power Exchange as separately incorporated public benefit nonprofit corporations. An Electricity Oversight Board (Oversight Board) is also established to oversee the Independent System Operator and the Power Exchange in order to ensure the success of electric industry restructuring and to ensure a reliable supply of electricity in the transition to a new market structure. The Oversight Board is granted various powers in order to carry out these purposes. This bill would , until the occurrence of a specified event, expand the authority of the Oversight Board to investigate any matter related to the wholesale market for electricity to ensure that the interests of California's citizens and consumers are served, protected, and represented in relation to the availability of electric transmission and generation , and related costs, during periods of peak demand, including provisions for the inspection and reproduction of certain information. The bill would enact confidentiality requirements and procedures applicable to information provided in this regard.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Consumer Power and Conservation Financing Authority: electrical energy: eminent domain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Set second hearing.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California Consumer Power and Conservation Financing Authority for various purposes, including owning, operating, and acquiring generating facilities to ensure a sufficient and reliable supply of electricity for California's consumers at just and reasonable rates. Existing law authorizes the authority to exercise the power of eminent domain to accomplish its purposes . Existing law also authorizes the Public Utilities Commission to fix, in a single sum, the just compensation to be paid by a political subdivision for the lands, property, and rights of any character of any public utility to be acquired by the political subdivision under eminent domain proceedings. This bill would require the authority to acquire under eminent domain proceedings, for a period of at least 18 months but not to exceed 24 months, possession and use of all property , as defined, that the authority determines is necessary for the generation of electrical power. The bill would provide that any property acquired under these provisions would be under the immediate control of the authority . The bill would require the authority, upon condemning property under these provisions, to also condemn any contracts for the sale of electrical power that is generated with or on the property condemned, to which the property owner is a party. The bill would also require the authority to condemn all labor contracts necessary to provide for services the state cannot adequately and competently perform in operating and maintaining the property for the duration of the acquisition. The bill would provide that the valuation of all property acquired, for the purposes of determining just compensation to be paid, shall be equivalent to the reasonable rental value of the property, for the period of time the property is acquired, as determined by the Public Utilities Commission. The bill would provide that only property that was in operation on or before May 21, 2001, may be condemned under these provisions. The bill would specify that its provisions shall remain in effect only until January 1, 2005, and as of that date will be repealed.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renewable energy and cogeneration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establish a process to issue its final certification for any thermal powerplant and related facilities within 6 months after the filing of the application for certification, if, on the basis of an initial review, the application shows that the project will not cause a significant adverse impact on the environment or electrical system and will comply with all applicable standards, ordinances, or laws. This bill would require the commission, at the earliest possible time, to develop and implement a procedure for the regulation and siting of new or updated qualifying small power production or cogeneration facilities (QF), as defined. The bill would require the procedure to include specified requirements relating to the level of air emissions produced at a new or upgraded QF, the use of the best available control technology, as defined by the appropriate local air quality management district or air pollution control district, to be used to regulate air emissions at the facility, and the completion of a study by an applicant for certification of a new or upgraded QF of the interconnection costs and requirements if the QF will produce electric power that will be transmitted to the state power grid and sold in California. This bill would require the utility, or a private party with whom the utility contracts, to complete the study of the interconnection costs and requirements within 20 days of the receipt of the application for certification by the commission.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Reyes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From committee: Amend do pass as amended and re-refer to Com. on E. C. &amp; A. Ayes 7. Noes 0. July 3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no electrical corporation that reduces or discontinues service in accordance with any order of the Public Utilities Commission, as specified, is liable for any damages to any person or property resulting from that reduction or discontinuance. This bill would provide that a retail or wholesale operator of an electric generation facility in this state that reduces or discontinues service for solely economic reasons, as defined, is strictly liable for any damages to any person or property, or a portion thereof based on comparative fault, if the damages are proximately caused by that reduction or discontinuance.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www.leginfo.ca.gov/cgi-bin/postquery?bill_number=abx2_51&amp;sess=CUR&amp;house=B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Cardoza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Fuel: illegal business practices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Do pass as amended.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imposes various criminal penalties for a violation of the Public Utilities Act. This bill would make it a felony for any person, firm, corporation, business, or combination thereof, to perform any act, or aid, abet, solicit, or conspire to perform any act, that creates a shortage of fuel, as defined, in California with the intent to raise fuel prices, materially adversely affect competition, or in any way violate the antitrust laws or other laws of the state regulating illegal business practices. By creating a new crime, this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Infrastructure and Economic Development Bank Fund: appropriation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Referred to Coms. on E. C. &amp; A. and J. E.D. &amp; 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Bergeson-Peace Infrastructure and Economic Development Bank Act establishes the California Infrastructure and Economic Development Bank Fund for the purpose of funding specified types of infrastructure development projects. Existing law deems a project for the financing of costs, and categories of costs, of an electrical corporation for generation-related assets and obligations to be in the public interest and eligible for financing by the bank. This bill would transfer $50,000,000 from the General Fund to the California Infrastructure and Economic Development Bank Fund to provide low-interest loans to privately owned electrical corporations to upgrade qualifying power generation facilities to use cleaner, more energy efficient technologies.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82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Keeley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Utility Rate Stabilization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#1 ASSEMBLY EXTRAORDINARY ASSEMBLY SECOND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contractors defines the term 'contractor' and makes it a misdemeanor for any person to engage in the business of or act in the capacity of a contractor within this state without having a license, unless that person is particularly exempted from the provisions of that existing law. This bill, except as specified, would exempt from those provisions an electrical corporation that is party to any agreement with the Department of Water Resources or other authorized state agency or authority relating to transmission or other facilities acquired from an electrical corporation.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www.leginfo.ca.gov/cgi-bin/postquery?bill_number=abx2_82&amp;sess=CUR&amp;house=B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83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07/17/2001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Alternative Electric Utility Rate Stabilization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 To print.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Public Utilities Commission to establish rates for public utilities. This bill would require the commission to establish the Ratepayer Refund Account with separate subaccounts for each electrical corporation that has entered into an electrical rate settlement agreement. The bill would require that all funds recovered by an electrical corporation from any litigation or agreement relative to the charging of excessive costs for power by electric power generators and suppliers for periods prior to January 18, 2001, be credited to the account. The bill would require all moneys credited to the Ratepayer Refund Account to be refunded to ratepayers, as specified.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www.leginfo.ca.gov/cgi-bin/postquery?bill_number=abx2_83&amp;sess=CUR&amp;house=B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996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www.leginfo.ca.gov/cgi-bin/postquery?bill_number=sb_996&amp;sess=CUR&amp;house=B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take necessary action to facilitate direct transactions between electricity suppliers and end-use customers. Existing law requires the commission to authorize all customer classes to voluntarily aggregate their electrical loads. Existing law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it may do so upon written notice to the public agency and pursuant to the opt-out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www.leginfo.ca.gov/cgi-bin/postquery?bill_number=sb_1126&amp;sess=CUR&amp;house=B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07/02/2001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taxes: electrical windfall profits tax: consumer credit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authorizes various credits against the taxes imposed by those laws. This bill, in accordance with the Legislature's stated intent to provide relief to California consumers of electrical power, would for each taxable year beginning on or after January 1, 2001, authorize a refundable California Electricity Consumers Tax Credit. The allowable credit would be computed in a manner that distributes, in equal amounts among those taxpayers required to file a tax return under the Personal Income Tax Law, a sum that is equal to the total amount due and payable under the Electric Windfall Profits Tax imposed under this bill as reduced by any amounts refunded in that taxable year.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take necessary action to facilitate direct transactions between electricity suppliers and end-use customers. The act requires the commission to authorize all customer classes to voluntarily aggregate their electrical loads. The act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the bill would authorize it do so upon written notice to the public agency and pursuant to the opt 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Burton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electricity: bond financing order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Upon adjournment of E.U. &amp; C Committee - Room 3191 SENATE COMMITTEE EXTRAORDINARY APPROPRIATIONS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Department of Water Resources to contract with an electrical corporation to transmit or provide for the transmission of, and distribute the power and provide billing, collection, and other related services, as the agent of the department, on terms and conditions that reasonably compensate the electrical corporation for its services, and requires the commission, at the request of the department, to order such actions. Existing law authorizes the department to issue revenue bonds for certain purposes not to exceed a certain amount, containing specified terms and conditions, upon authorization by written determination of the department and with the approval of the Director of Finance and the Treasurer. Existing law permits the department to have the Public Utilities Commission issue finance orders to recover revenue requirements, and delegates to the department the authority to determine if the revenue requirements are just and reasonable. Existing law requires the department, before the issuance of bonds, to establish a mechanism to ensure that the bonds will be sold at investment grade ratings and repaid on a timely basis from pledged revenues. Certain of these provisions enacted by Senate Bill 31 of the 2001-02 First Extraordinary Session become effective on August 13, 2001. This bill would require the bond repayment mechanism to include a DWR Bond Set-Aside, as defined, fixed by an irrevocable Public Utilities Commission bond financing order, sufficient to pay the costs of issuing, servicing, and retiring the bonds, and to be adjusted as required, applicable to all electric power delivered in this state by an electrical corporation subject to the jurisdiction of the commission. The bill would require the total of DWR Bond Set-Asides to be designated as a separate rate component of a retail end user's bill for electrical services and would require any DWR Bond Set-Aside to consist of and be derived from a portion of the rate levels in effect on August 31, 2001. The bill would establish the DWR Bond Repayment Fund, to be continuously appropriated to the department and available for the purpose of the payment of principal, premium, if any, and interest on bonds and associated issuance costs, thereby making an appropriation. The bill would require the revenues from the DWR Bond Set-Aside to be deposited in the DWR Bond Repayment Fund.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power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#2 SENATE EXTRAORDINARY SENATE BILLS-SECOND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the acquisition of property by the exercise of eminent domain by a public entity, provides that, if the taking is by a local public entity, the resolution of necessity conclusively establishes those facts required by law to exercise the power of eminent domain except in specified situations, including when the property is electric, gas, or water public utility property. This bill would, until January 1, 2007, delete the application of the rebuttable presumption to the taking of electric or gas public utility property if the alternative procedure described under (2) is applied, provided that the conclusive presumption made applicable by the bill shall not be construed as limiting the property owner's rights under specified provisions of existing law, and set forth additional requirements with regard to the findings necessary for the resolution of necessity with respect to the taking of electronic or gas public utility property. This bill would provide that property obtained under these provisions may not be used by a city, municipal utility district, or district to facilitate its entry, on its own, through a 3rd party, or in conjunction with a 3rd party, into cable television or telecommunications services. The bill would provide that property obtained under these provisions and otherwise used by a public entity to provide telecommunications or cable television services would be subject to specified conditions, including the same obligations as any private provider of the same services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Reconsideration granted.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ownership or operation of a facility that has been certified by the Federal Energy Regulatory Commission as an exempt wholesale generator is not sufficient to make a corporation or person a public utility under the Public Utilities Act, a violation of which is a crime. This bill would delete this provision. To the extent that this change would expand the class of utilities subject to the act, this bill would impose a state-mandated local program by changing the definition of an existing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L.GOV.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Peace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facility and site certification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#1 SENATE EXTRAORDINARY SENATE BILLS-SECOND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requires the State Energy Resources Conservation and Development Commission to certify sufficient sites and related facilities that are required to provide a supply of electric power sufficient to accommodate projected demand for power statewide. The commission administers existing law with respect to energy conservation. Existing law authorizes the commission, after hearings, to amend the conditions of, or revoke the certification for, any facility for specified reasons and to administratively impose a civil penalty for specified violations of a certification of up to $50,000 per violation, as prescribed. This bill would authorize the commission to administratively impose a civil penalty for specified violations of up to $75,000, as prescribed.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Figueroa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06/28/2001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False statements: penalty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PUBLIC SAFETY  To Com. on PUB. 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offense of perjury, generally consisting of making false statements under oath, and punishable by imprisonment in the state prison for a term of 2, 3, or 4 years. This bill would, in addition, establish the offense of making false statements to the Legislature, or any committee thereof, or a department or agency of the state by certain persons related to the California electricity market, as specified, and would provide the punishment for the offense would be a fine of up to $100,000 per offense, or imprisonment in the state prison for not more than 5 years, or by both that fine and imprisonment.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Figueroa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06/28/2001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Retaliation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08/22/2001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2040 SENATE COMMITTEE EXTRAORDINARY LABOR AND INDUSTRIAL RELATIONS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commonly referred to as the 'whistle blower's statute,' prohibits employers from retaliating against employees who, with reasonable cause, disclose information about the employer's violation of state or federal law and from establishing policies that prevent employees from disclosing violations of law. Existing law imposes penalties against employers who violate those provisions. This bill would expand existing law to prohibit employers from retaliating against employees, independent contractors, or agents of persons or businesses engaged in the electricity or electricity ancillary services market who, with reasonable cause, disclose to specified entities information about a possible fraud, false claim, anti-competitive practice, unlawful market manipulation or violation of state or federal law or from establishing policies that prevent individuals from disclosing that information. By making violations of its provisions a felony,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www.leginfo.ca.gov/cgi-bin/postquery?bill_number=sbx2_89&amp;sess=CUR&amp;house=B</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ind w:end="360"/>
      <w:rPr/>
    </w:pPr>
    <w:r>
      <w:rPr/>
      <w:t>Manatt, Phelps &amp; Phillips, LLP</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Manatt, Phelps &amp; Phillips, LLP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LHVersion" w:val="2000a"/>
    <w:docVar w:name="zzmpFixed_MacPacVersion" w:val="97"/>
    <w:docVar w:name="zzmpFixedDOC_ID" w:val="1000129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Indent">
    <w:name w:val="Body Text Indent"/>
    <w:basedOn w:val="BodyText"/>
    <w:next w:val="BodyText"/>
    <w:pPr>
      <w:ind w:hanging="0" w:start="72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Normal"/>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Normal"/>
    <w:qFormat/>
    <w:pPr>
      <w:spacing w:before="0" w:after="240"/>
      <w:ind w:hanging="0" w:start="1440" w:end="1440"/>
    </w:pPr>
    <w:rPr/>
  </w:style>
  <w:style w:type="paragraph" w:styleId="Centered">
    <w:name w:val="Centered"/>
    <w:basedOn w:val="Normal"/>
    <w:next w:val="Normal"/>
    <w:qFormat/>
    <w:pPr>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L00-F05-SS">
    <w:name w:val="L00-F05-SS"/>
    <w:basedOn w:val="Normal"/>
    <w:qFormat/>
    <w:pPr>
      <w:spacing w:before="0" w:after="240"/>
      <w:ind w:firstLine="720" w:start="0" w:end="0"/>
    </w:pPr>
    <w:rPr/>
  </w:style>
  <w:style w:type="paragraph" w:styleId="L00-F05-DS">
    <w:name w:val="L00-F05-DS"/>
    <w:basedOn w:val="Normal"/>
    <w:qFormat/>
    <w:pPr>
      <w:spacing w:lineRule="auto" w:line="480"/>
      <w:ind w:firstLine="720" w:start="0" w:end="0"/>
    </w:pPr>
    <w:rPr/>
  </w:style>
  <w:style w:type="paragraph" w:styleId="L00-F10-SS">
    <w:name w:val="L00-F10-SS"/>
    <w:basedOn w:val="Normal"/>
    <w:qFormat/>
    <w:pPr>
      <w:spacing w:before="0" w:after="240"/>
      <w:ind w:firstLine="1440" w:start="0" w:end="0"/>
    </w:pPr>
    <w:rPr/>
  </w:style>
  <w:style w:type="paragraph" w:styleId="L00-F10-DS">
    <w:name w:val="L00-F10-DS"/>
    <w:basedOn w:val="Normal"/>
    <w:qFormat/>
    <w:pPr>
      <w:spacing w:lineRule="auto" w:line="480"/>
      <w:ind w:firstLine="1440" w:start="0" w:end="0"/>
    </w:pPr>
    <w:rPr/>
  </w:style>
  <w:style w:type="paragraph" w:styleId="L05-F05-SS">
    <w:name w:val="L05-F05-SS"/>
    <w:basedOn w:val="Normal"/>
    <w:qFormat/>
    <w:pPr>
      <w:spacing w:before="0" w:after="240"/>
      <w:ind w:firstLine="720" w:start="720" w:end="0"/>
    </w:pPr>
    <w:rPr/>
  </w:style>
  <w:style w:type="paragraph" w:styleId="L05-F05-DS">
    <w:name w:val="L05-F05-DS"/>
    <w:basedOn w:val="Normal"/>
    <w:qFormat/>
    <w:pPr>
      <w:spacing w:lineRule="auto" w:line="480"/>
      <w:ind w:firstLine="720" w:start="720" w:end="0"/>
    </w:pPr>
    <w:rPr/>
  </w:style>
  <w:style w:type="paragraph" w:styleId="L10-F10-SS">
    <w:name w:val="L10-F10-SS"/>
    <w:basedOn w:val="Normal"/>
    <w:qFormat/>
    <w:pPr>
      <w:spacing w:before="0" w:after="240"/>
      <w:ind w:firstLine="720" w:start="1440" w:end="0"/>
    </w:pPr>
    <w:rPr/>
  </w:style>
  <w:style w:type="paragraph" w:styleId="L10-F10-DS">
    <w:name w:val="L10-F10-DS"/>
    <w:basedOn w:val="Normal"/>
    <w:qFormat/>
    <w:pPr>
      <w:spacing w:lineRule="auto" w:line="480"/>
      <w:ind w:firstLine="720" w:start="1440" w:end="0"/>
    </w:pPr>
    <w:rPr/>
  </w:style>
  <w:style w:type="paragraph" w:styleId="L05-F00-SS">
    <w:name w:val="L05-F00-SS"/>
    <w:basedOn w:val="Normal"/>
    <w:qFormat/>
    <w:pPr>
      <w:spacing w:before="0" w:after="240"/>
      <w:ind w:hanging="0" w:start="720" w:end="0"/>
    </w:pPr>
    <w:rPr/>
  </w:style>
  <w:style w:type="paragraph" w:styleId="L05-F00-DS">
    <w:name w:val="L05-F00-DS"/>
    <w:basedOn w:val="Normal"/>
    <w:qFormat/>
    <w:pPr>
      <w:spacing w:lineRule="auto" w:line="480"/>
      <w:ind w:hanging="0" w:start="720" w:end="0"/>
    </w:pPr>
    <w:rPr/>
  </w:style>
  <w:style w:type="paragraph" w:styleId="L10-F00-SS">
    <w:name w:val="L10-F00-SS"/>
    <w:basedOn w:val="Normal"/>
    <w:qFormat/>
    <w:pPr>
      <w:spacing w:before="0" w:after="240"/>
      <w:ind w:hanging="0" w:start="1440" w:end="0"/>
    </w:pPr>
    <w:rPr/>
  </w:style>
  <w:style w:type="paragraph" w:styleId="L10-F00-DS">
    <w:name w:val="L10-F00-DS"/>
    <w:basedOn w:val="Normal"/>
    <w:qFormat/>
    <w:pPr>
      <w:spacing w:lineRule="auto" w:line="480"/>
      <w:ind w:hanging="0" w:start="1440" w:end="0"/>
    </w:pPr>
    <w:rPr/>
  </w:style>
  <w:style w:type="paragraph" w:styleId="L15-F00-SS">
    <w:name w:val="L15-F00-SS"/>
    <w:basedOn w:val="Normal"/>
    <w:qFormat/>
    <w:pPr>
      <w:spacing w:before="0" w:after="240"/>
      <w:ind w:hanging="0" w:start="2160" w:end="0"/>
    </w:pPr>
    <w:rPr/>
  </w:style>
  <w:style w:type="paragraph" w:styleId="L15-F00-DS">
    <w:name w:val="L15-F00-DS"/>
    <w:basedOn w:val="Normal"/>
    <w:qFormat/>
    <w:pPr>
      <w:spacing w:lineRule="auto" w:line="480"/>
      <w:ind w:hanging="0" w:start="2160" w:end="0"/>
    </w:pPr>
    <w:rPr/>
  </w:style>
  <w:style w:type="paragraph" w:styleId="LR05-F00-SS">
    <w:name w:val="LR05-F00-SS"/>
    <w:basedOn w:val="Normal"/>
    <w:qFormat/>
    <w:pPr>
      <w:spacing w:before="0" w:after="240"/>
      <w:ind w:hanging="0" w:start="720" w:end="720"/>
    </w:pPr>
    <w:rPr/>
  </w:style>
  <w:style w:type="paragraph" w:styleId="LR05-F00-DS">
    <w:name w:val="LR05-F00-DS"/>
    <w:basedOn w:val="Normal"/>
    <w:qFormat/>
    <w:pPr>
      <w:spacing w:lineRule="auto" w:line="480"/>
      <w:ind w:hanging="0" w:start="720" w:end="720"/>
    </w:pPr>
    <w:rPr/>
  </w:style>
  <w:style w:type="paragraph" w:styleId="LR10-F00-SS">
    <w:name w:val="LR10-F00-SS"/>
    <w:basedOn w:val="Normal"/>
    <w:qFormat/>
    <w:pPr>
      <w:spacing w:before="0" w:after="240"/>
      <w:ind w:hanging="0" w:start="1440" w:end="1440"/>
    </w:pPr>
    <w:rPr/>
  </w:style>
  <w:style w:type="paragraph" w:styleId="LR10-F00-DS">
    <w:name w:val="LR10-F00-DS"/>
    <w:basedOn w:val="Normal"/>
    <w:qFormat/>
    <w:pPr>
      <w:spacing w:lineRule="auto" w:line="480"/>
      <w:ind w:hanging="0" w:start="1440" w:end="1440"/>
    </w:pPr>
    <w:rPr/>
  </w:style>
  <w:style w:type="paragraph" w:styleId="L00-F00-SS">
    <w:name w:val="L00-F00-SS"/>
    <w:basedOn w:val="Normal"/>
    <w:qFormat/>
    <w:pPr>
      <w:spacing w:before="0" w:after="240"/>
    </w:pPr>
    <w:rPr/>
  </w:style>
  <w:style w:type="paragraph" w:styleId="L00-F00-DS">
    <w:name w:val="L00-F00-DS"/>
    <w:basedOn w:val="Normal"/>
    <w:qFormat/>
    <w:pPr>
      <w:spacing w:lineRule="auto" w:line="480"/>
    </w:pPr>
    <w:rPr/>
  </w:style>
  <w:style w:type="paragraph" w:styleId="BusinessSignature">
    <w:name w:val="Business Signature"/>
    <w:basedOn w:val="Normal"/>
    <w:qFormat/>
    <w:pPr>
      <w:tabs>
        <w:tab w:val="left" w:pos="720" w:leader="none"/>
        <w:tab w:val="right" w:pos="432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2001-07-05T16:36:00Z</dcterms:created>
  <dc:creator>Michael R. Martinez</dc:creator>
  <dc:description/>
  <dc:language>en-CA</dc:language>
  <cp:lastModifiedBy>Michael R. Martinez</cp:lastModifiedBy>
  <cp:lastPrinted>2001-07-19T16:31:00Z</cp:lastPrinted>
  <dcterms:modified xsi:type="dcterms:W3CDTF">2001-07-19T21:01:00Z</dcterms:modified>
  <cp:revision>18</cp:revision>
  <dc:subject/>
  <dc:title> </dc:title>
</cp:coreProperties>
</file>