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97280" cy="678815"/>
            <wp:effectExtent l="0" t="0" r="0" b="0"/>
            <wp:docPr id="1" name="MPP%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20LOGO" descr="" title=""/>
                    <pic:cNvPicPr>
                      <a:picLocks noChangeAspect="1" noChangeArrowheads="1"/>
                    </pic:cNvPicPr>
                  </pic:nvPicPr>
                  <pic:blipFill>
                    <a:blip r:embed="rId2"/>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Independent Energy Producers Association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mallCaps/>
          <w:sz w:val="26"/>
        </w:rPr>
      </w:pPr>
      <w:r>
        <w:rPr>
          <w:rFonts w:cs="Arial" w:ascii="Arial" w:hAnsi="Arial"/>
          <w:b/>
          <w:smallCaps/>
          <w:sz w:val="26"/>
        </w:rPr>
        <w:t>Legislative Bill Report</w:t>
      </w:r>
    </w:p>
    <w:p>
      <w:pPr>
        <w:pStyle w:val="Normal"/>
        <w:jc w:val="center"/>
        <w:rPr>
          <w:rFonts w:ascii="Arial" w:hAnsi="Arial" w:cs="Arial"/>
          <w:b/>
          <w:smallCaps/>
          <w:sz w:val="26"/>
        </w:rPr>
      </w:pPr>
      <w:r>
        <w:rPr>
          <w:rFonts w:cs="Arial" w:ascii="Arial" w:hAnsi="Arial"/>
          <w:b/>
          <w:smallCaps/>
          <w:sz w:val="26"/>
        </w:rPr>
        <w:t>July 5, 2001</w:t>
      </w:r>
    </w:p>
    <w:p>
      <w:pPr>
        <w:pStyle w:val="Normal"/>
        <w:jc w:val="center"/>
        <w:rPr>
          <w:rFonts w:ascii="Arial" w:hAnsi="Arial" w:cs="Arial"/>
          <w:b/>
          <w:smallCaps/>
          <w:sz w:val="28"/>
        </w:rPr>
      </w:pPr>
      <w:r>
        <w:rPr>
          <w:rFonts w:cs="Arial" w:ascii="Arial" w:hAnsi="Arial"/>
          <w:b/>
          <w:smallCaps/>
          <w:sz w:val="28"/>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Priority</w:t>
            </w:r>
          </w:p>
        </w:tc>
        <w:tc>
          <w:tcPr>
            <w:tcW w:w="12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w:t>
            </w:r>
          </w:p>
        </w:tc>
        <w:tc>
          <w:tcPr>
            <w:tcW w:w="171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Author</w:t>
            </w:r>
          </w:p>
        </w:tc>
        <w:tc>
          <w:tcPr>
            <w:tcW w:w="21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Title</w:t>
            </w:r>
          </w:p>
        </w:tc>
        <w:tc>
          <w:tcPr>
            <w:tcW w:w="38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Status</w:t>
            </w:r>
          </w:p>
        </w:tc>
      </w:tr>
      <w:tr>
        <w:trPr/>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Corbett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Excess Gross Receipts From Electrical Energy Distribution Tax</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07/05/2001</w:t>
            </w:r>
            <w:r>
              <w:rPr>
                <w:rFonts w:cs="Arial Narrow" w:ascii="Arial Narrow" w:hAnsi="Arial Narrow"/>
                <w:sz w:val="20"/>
              </w:rPr>
              <w:t xml:space="preserve">  </w:t>
            </w:r>
            <w:r>
              <w:rPr>
                <w:rFonts w:cs="Arial Narrow" w:ascii="Arial Narrow" w:hAnsi="Arial Narrow"/>
                <w:sz w:val="20"/>
                <w:lang w:val="en-CA"/>
              </w:rPr>
              <w:t>#3 ASSEMBLY EXTRAORDINARY ASSEMBLY THIRD READING FILE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10</w:t>
            </w:r>
          </w:p>
        </w:tc>
        <w:tc>
          <w:tcPr>
            <w:tcW w:w="171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generating facilities: certification</w:t>
            </w:r>
          </w:p>
        </w:tc>
        <w:tc>
          <w:tcPr>
            <w:tcW w:w="387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28</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07/10/2001</w:t>
            </w:r>
            <w:r>
              <w:rPr>
                <w:rFonts w:cs="Arial Narrow" w:ascii="Arial Narrow" w:hAnsi="Arial Narrow"/>
                <w:sz w:val="20"/>
              </w:rPr>
              <w:t xml:space="preserve">  </w:t>
            </w:r>
            <w:r>
              <w:rPr>
                <w:rFonts w:cs="Arial Narrow" w:ascii="Arial Narrow" w:hAnsi="Arial Narrow"/>
                <w:sz w:val="20"/>
                <w:lang w:val="en-CA"/>
              </w:rPr>
              <w:t xml:space="preserve">1:30 p.m. - Room 112 SENATE COMMITTEE EXTRAORDINARY ENERGY, UTILITIES, AND COMMUNICATIONS </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35</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Consumer Power and Conservation Financing Authority: electrical energy: eminent domain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ASM JUDICIARY  Re-referred to Com. on E. C. &amp; A.</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44</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renewable energy and cogeneration powerplants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ASM NATURAL RESOURCES  In committee: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51</w:t>
            </w:r>
          </w:p>
        </w:tc>
        <w:tc>
          <w:tcPr>
            <w:tcW w:w="171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Reyes</w:t>
            </w:r>
          </w:p>
        </w:tc>
        <w:tc>
          <w:tcPr>
            <w:tcW w:w="216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w:t>
            </w:r>
          </w:p>
        </w:tc>
        <w:tc>
          <w:tcPr>
            <w:tcW w:w="387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07/03/2001</w:t>
            </w:r>
            <w:r>
              <w:rPr>
                <w:rFonts w:cs="Arial Narrow" w:ascii="Arial Narrow" w:hAnsi="Arial Narrow"/>
                <w:sz w:val="20"/>
              </w:rPr>
              <w:t xml:space="preserve">  </w:t>
            </w:r>
            <w:r>
              <w:rPr>
                <w:rFonts w:cs="Arial Narrow" w:ascii="Arial Narrow" w:hAnsi="Arial Narrow"/>
                <w:sz w:val="20"/>
                <w:lang w:val="en-CA"/>
              </w:rPr>
              <w:t>ASM JUDICIARY  Do pass as amended and be re-referred to the Committee on Energy Costs and Availability.</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ABX2 65</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Cardoza</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highlight w:val="yellow"/>
              </w:rPr>
            </w:pPr>
            <w:r>
              <w:rPr>
                <w:rFonts w:cs="Arial Narrow" w:ascii="Arial Narrow" w:hAnsi="Arial Narrow"/>
                <w:sz w:val="20"/>
                <w:highlight w:val="yellow"/>
                <w:lang w:val="en-CA"/>
              </w:rPr>
              <w:t>Fuel: illegal business practices</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highlight w:val="yellow"/>
                <w:lang w:val="en-CA"/>
              </w:rPr>
              <w:t>07/11/2001</w:t>
            </w:r>
            <w:r>
              <w:rPr>
                <w:rFonts w:cs="Arial Narrow" w:ascii="Arial Narrow" w:hAnsi="Arial Narrow"/>
                <w:sz w:val="20"/>
                <w:highlight w:val="yellow"/>
              </w:rPr>
              <w:t xml:space="preserve">  </w:t>
            </w:r>
            <w:r>
              <w:rPr>
                <w:rFonts w:cs="Arial Narrow" w:ascii="Arial Narrow" w:hAnsi="Arial Narrow"/>
                <w:sz w:val="20"/>
                <w:highlight w:val="yellow"/>
                <w:lang w:val="en-CA"/>
              </w:rPr>
              <w:t>9:30 a.m. - Room 4202 ASSEMBLY COMMITTEE EXTRAORDINARY APPROPRIATIONS</w:t>
            </w:r>
            <w:r>
              <w:rPr>
                <w:rFonts w:cs="Arial Narrow" w:ascii="Arial Narrow" w:hAnsi="Arial Narrow"/>
                <w:sz w:val="20"/>
                <w:lang w:val="en-CA"/>
              </w:rPr>
              <w:t xml:space="preserve"> </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Infrastructure and Economic Development Bank Fund: appropriation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ASM ENERGY COSTS AND AVAILABILITY  Referred to Coms. on E. C. &amp; A. and J. E.D. &amp; 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996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1126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w:t>
            </w:r>
          </w:p>
        </w:tc>
        <w:tc>
          <w:tcPr>
            <w:tcW w:w="171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c>
          <w:tcPr>
            <w:tcW w:w="1170" w:type="dxa"/>
            <w:tcBorders>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SBX2 23</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Soto</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highlight w:val="yellow"/>
              </w:rPr>
            </w:pPr>
            <w:r>
              <w:rPr>
                <w:rFonts w:cs="Arial Narrow" w:ascii="Arial Narrow" w:hAnsi="Arial Narrow"/>
                <w:sz w:val="20"/>
                <w:highlight w:val="yellow"/>
                <w:lang w:val="en-CA"/>
              </w:rPr>
              <w:t>Public power districts</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highlight w:val="yellow"/>
                <w:lang w:val="en-CA"/>
              </w:rPr>
              <w:t>07/09/2001</w:t>
            </w:r>
            <w:r>
              <w:rPr>
                <w:rFonts w:cs="Arial Narrow" w:ascii="Arial Narrow" w:hAnsi="Arial Narrow"/>
                <w:sz w:val="20"/>
                <w:highlight w:val="yellow"/>
              </w:rPr>
              <w:t xml:space="preserve">  </w:t>
            </w:r>
            <w:r>
              <w:rPr>
                <w:rFonts w:cs="Arial Narrow" w:ascii="Arial Narrow" w:hAnsi="Arial Narrow"/>
                <w:sz w:val="20"/>
                <w:highlight w:val="yellow"/>
                <w:lang w:val="en-CA"/>
              </w:rPr>
              <w:t>8:30 a.m. - Room caliifornia Room 4203 SENATE COMMITTEE EXTRAORDINARY APPROPRIATIONS</w:t>
            </w:r>
            <w:r>
              <w:rPr>
                <w:rFonts w:cs="Arial Narrow" w:ascii="Arial Narrow" w:hAnsi="Arial Narrow"/>
                <w:sz w:val="20"/>
                <w:lang w:val="en-CA"/>
              </w:rPr>
              <w:t xml:space="preserve"> </w:t>
            </w:r>
          </w:p>
        </w:tc>
      </w:tr>
    </w:tbl>
    <w:p>
      <w:pPr>
        <w:pStyle w:val="Normal"/>
        <w:rPr/>
      </w:pPr>
      <w:r>
        <w:br w:type="page"/>
      </w:r>
      <w:r>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 (Cont’d)</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L.GOV. and E. U. &amp; C.</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9</w:t>
            </w:r>
          </w:p>
        </w:tc>
        <w:tc>
          <w:tcPr>
            <w:tcW w:w="171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aggregation</w:t>
            </w:r>
          </w:p>
        </w:tc>
        <w:tc>
          <w:tcPr>
            <w:tcW w:w="3870" w:type="dxa"/>
            <w:tcBorders>
              <w:top w:val="single" w:sz="4" w:space="0" w:color="000000"/>
              <w:start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SBX2 39</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Speier</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highlight w:val="yellow"/>
              </w:rPr>
            </w:pPr>
            <w:r>
              <w:rPr>
                <w:rFonts w:cs="Arial Narrow" w:ascii="Arial Narrow" w:hAnsi="Arial Narrow"/>
                <w:sz w:val="20"/>
                <w:highlight w:val="yellow"/>
                <w:lang w:val="en-CA"/>
              </w:rPr>
              <w:t>Public Utilities</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highlight w:val="yellow"/>
                <w:lang w:val="en-CA"/>
              </w:rPr>
              <w:t>07/09/2001</w:t>
            </w:r>
            <w:r>
              <w:rPr>
                <w:rFonts w:cs="Arial Narrow" w:ascii="Arial Narrow" w:hAnsi="Arial Narrow"/>
                <w:sz w:val="20"/>
                <w:highlight w:val="yellow"/>
              </w:rPr>
              <w:t xml:space="preserve">  </w:t>
            </w:r>
            <w:r>
              <w:rPr>
                <w:rFonts w:cs="Arial Narrow" w:ascii="Arial Narrow" w:hAnsi="Arial Narrow"/>
                <w:sz w:val="20"/>
                <w:highlight w:val="yellow"/>
                <w:lang w:val="en-CA"/>
              </w:rPr>
              <w:t>2:30 p.m. or upon adjournment of U&amp;C - Room 437 ASSEMBLY COMMITTEE EXTRAORDINARY ENERGY COSTS AND AVAILABILITY</w:t>
            </w:r>
            <w:r>
              <w:rPr>
                <w:rFonts w:cs="Arial Narrow" w:ascii="Arial Narrow" w:hAnsi="Arial Narrow"/>
                <w:sz w:val="20"/>
                <w:lang w:val="en-CA"/>
              </w:rPr>
              <w:t xml:space="preserve"> </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SBX2 1</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Soto</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highlight w:val="yellow"/>
              </w:rPr>
            </w:pPr>
            <w:r>
              <w:rPr>
                <w:rFonts w:cs="Arial Narrow" w:ascii="Arial Narrow" w:hAnsi="Arial Narrow"/>
                <w:sz w:val="20"/>
                <w:highlight w:val="yellow"/>
                <w:lang w:val="en-CA"/>
              </w:rPr>
              <w:t>Personal income and bank and corporation taxes: electrical windfall profits tax: consumer credit</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highlight w:val="yellow"/>
                <w:lang w:val="en-CA"/>
              </w:rPr>
              <w:t>07/09/2001</w:t>
            </w:r>
            <w:r>
              <w:rPr>
                <w:rFonts w:cs="Arial Narrow" w:ascii="Arial Narrow" w:hAnsi="Arial Narrow"/>
                <w:sz w:val="20"/>
                <w:highlight w:val="yellow"/>
              </w:rPr>
              <w:t xml:space="preserve">  </w:t>
            </w:r>
            <w:r>
              <w:rPr>
                <w:rFonts w:cs="Arial Narrow" w:ascii="Arial Narrow" w:hAnsi="Arial Narrow"/>
                <w:sz w:val="20"/>
                <w:highlight w:val="yellow"/>
                <w:lang w:val="en-CA"/>
              </w:rPr>
              <w:t>1:30 p.m. - Room 126 ASSEMBLY COMMITTEE EXTRAORDINARY REVENUE AND TAXATION</w:t>
            </w:r>
            <w:r>
              <w:rPr>
                <w:rFonts w:cs="Arial Narrow" w:ascii="Arial Narrow" w:hAnsi="Arial Narrow"/>
                <w:sz w:val="20"/>
                <w:lang w:val="en-CA"/>
              </w:rPr>
              <w:t xml:space="preserve"> </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AB 81</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highlight w:val="yellow"/>
              </w:rPr>
            </w:pPr>
            <w:r>
              <w:rPr>
                <w:rFonts w:cs="Arial Narrow" w:ascii="Arial Narrow" w:hAnsi="Arial Narrow"/>
                <w:b/>
                <w:sz w:val="20"/>
                <w:highlight w:val="yellow"/>
                <w:lang w:val="en-CA"/>
              </w:rPr>
              <w:t>Migden</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highlight w:val="yellow"/>
              </w:rPr>
            </w:pPr>
            <w:r>
              <w:rPr>
                <w:rFonts w:cs="Arial Narrow" w:ascii="Arial Narrow" w:hAnsi="Arial Narrow"/>
                <w:sz w:val="20"/>
                <w:highlight w:val="yellow"/>
                <w:lang w:val="en-CA"/>
              </w:rPr>
              <w:t>Property taxation: state-assessed property</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highlight w:val="yellow"/>
                <w:lang w:val="en-CA"/>
              </w:rPr>
              <w:t>07/11/2001</w:t>
            </w:r>
            <w:r>
              <w:rPr>
                <w:rFonts w:cs="Arial Narrow" w:ascii="Arial Narrow" w:hAnsi="Arial Narrow"/>
                <w:sz w:val="20"/>
                <w:highlight w:val="yellow"/>
              </w:rPr>
              <w:t xml:space="preserve">  </w:t>
            </w:r>
            <w:r>
              <w:rPr>
                <w:rFonts w:cs="Arial Narrow" w:ascii="Arial Narrow" w:hAnsi="Arial Narrow"/>
                <w:sz w:val="20"/>
                <w:highlight w:val="yellow"/>
                <w:lang w:val="en-CA"/>
              </w:rPr>
              <w:t>1:30 p.m. - Room 2040 SENATE REVENUE AND TAXATION</w:t>
            </w:r>
            <w:r>
              <w:rPr>
                <w:rFonts w:cs="Arial Narrow" w:ascii="Arial Narrow" w:hAnsi="Arial Narrow"/>
                <w:sz w:val="20"/>
                <w:lang w:val="en-CA"/>
              </w:rPr>
              <w:t xml:space="preserve"> </w:t>
            </w:r>
          </w:p>
        </w:tc>
      </w:tr>
    </w:tbl>
    <w:p>
      <w:pPr>
        <w:pStyle w:val="Normal"/>
        <w:rPr/>
      </w:pPr>
      <w:r>
        <w:rPr/>
      </w:r>
      <w:r>
        <w:br w:type="page"/>
      </w:r>
    </w:p>
    <w:p>
      <w:pPr>
        <w:pStyle w:val="Normal"/>
        <w:rPr/>
      </w:pPr>
      <w:r>
        <w:rPr/>
        <w:drawing>
          <wp:inline distT="0" distB="0" distL="0" distR="0">
            <wp:extent cx="1097280" cy="67881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b/>
          <w:smallCaps/>
          <w:sz w:val="26"/>
        </w:rPr>
      </w:pPr>
      <w:r>
        <w:rPr>
          <w:rFonts w:cs="Arial" w:ascii="Arial" w:hAnsi="Arial"/>
          <w:b/>
          <w:smallCaps/>
          <w:sz w:val="26"/>
        </w:rPr>
        <w:t>Legislative Bill Summaries</w:t>
      </w:r>
    </w:p>
    <w:p>
      <w:pPr>
        <w:pStyle w:val="Normal"/>
        <w:jc w:val="center"/>
        <w:rPr>
          <w:rFonts w:ascii="Arial" w:hAnsi="Arial" w:cs="Arial"/>
          <w:b/>
          <w:smallCaps/>
          <w:sz w:val="26"/>
        </w:rPr>
      </w:pPr>
      <w:r>
        <w:rPr>
          <w:rFonts w:cs="Arial" w:ascii="Arial" w:hAnsi="Arial"/>
          <w:b/>
          <w:smallCaps/>
          <w:sz w:val="26"/>
        </w:rPr>
        <w:t>July 5, 2001</w:t>
      </w:r>
    </w:p>
    <w:p>
      <w:pPr>
        <w:pStyle w:val="Normal"/>
        <w:rPr>
          <w:rFonts w:ascii="Arial" w:hAnsi="Arial" w:cs="Arial"/>
          <w:b/>
          <w:smallCaps/>
          <w:sz w:val="26"/>
        </w:rPr>
      </w:pPr>
      <w:r>
        <w:rPr>
          <w:rFonts w:cs="Arial" w:ascii="Arial" w:hAnsi="Arial"/>
          <w:b/>
          <w:smallCaps/>
          <w:sz w:val="26"/>
        </w:rPr>
      </w:r>
    </w:p>
    <w:p>
      <w:pPr>
        <w:pStyle w:val="Normal"/>
        <w:jc w:val="center"/>
        <w:rPr>
          <w:rFonts w:ascii="Arial" w:hAnsi="Arial" w:cs="Arial"/>
          <w:b/>
          <w:smallCaps/>
          <w:sz w:val="26"/>
        </w:rPr>
      </w:pPr>
      <w:r>
        <w:rPr>
          <w:rFonts w:cs="Arial" w:ascii="Arial" w:hAnsi="Arial"/>
          <w:b/>
          <w:smallCaps/>
          <w:sz w:val="26"/>
        </w:rPr>
        <w:t>“</w:t>
      </w:r>
      <w:r>
        <w:rPr>
          <w:rFonts w:cs="Arial" w:ascii="Arial" w:hAnsi="Arial"/>
          <w:b/>
          <w:smallCaps/>
          <w:sz w:val="26"/>
        </w:rPr>
        <w:t>Urgent” Bill Summaries</w:t>
      </w:r>
    </w:p>
    <w:p>
      <w:pPr>
        <w:pStyle w:val="Normal"/>
        <w:jc w:val="center"/>
        <w:rPr>
          <w:rFonts w:ascii="Arial" w:hAnsi="Arial" w:cs="Arial"/>
          <w:b/>
          <w:smallCaps/>
          <w:sz w:val="26"/>
        </w:rPr>
      </w:pPr>
      <w:r>
        <w:rPr>
          <w:rFonts w:cs="Arial" w:ascii="Arial" w:hAnsi="Arial"/>
          <w:b/>
          <w:smallCaps/>
          <w:sz w:val="2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81</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state-assessed property</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07/11/2001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2040 SENATE REVENUE AND TAXATION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requires the State Board of Equalization to assess the property, other than franchises, of companies transmitting or selling gas or electricity. Existing regulations require the board to assess an electric generation facility, for purposes of this constitutional provision, only if (1) the facility was constructed pursuant to a certificate of public convenience and necessity issued by the California Public Utilities Commission to the company that presently owns the facility or (2) the company owning the facility is a state assessee for reasons other than its ownership of the generation facility or its ownership of pipelines, flumes, canals, ditches, or aqueducts lying within 2 or more counties.  This bill would require the board to annually assess electric generation facilities, with specified exceptions, with a generating capacity of 50 megawatts or more that is owned by an electrical corporation, as defined.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www.leginfo.ca.gov/cgi-bin/postquery?bill_number=ab_81&amp;sess=CUR&amp;house=B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Corbett</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06/12/2001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Excess Gross Receipts From Electrical Energy Distribution Tax</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07/05/2001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#3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imposes a tax measured by income upon every resident of this state. The Bank and Corporation Tax Law imposes a tax measured by income upon every corporation doing business in, or deriving income from, this state. This bill would impose the Excess Gross Receipts From Electrical Energy Distribution Tax on sales of electricity in this state in an amount equal to the applicable percentage of the portion of the sales price of electricity that exceeds the base price, as defined.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9</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aggregation</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transactions between electricity suppliers and end-use customers, authorizes specified entities to aggregate electrical loads, and defines an 'aggregator' as one of those specified entities that provides specified power supply services, including combining the loads of multiple end-use customers and facilitating the sale and purchase of electrical energy, transmission, and other services on behalf of the end-use customers.  This bill would, instead, authorize customers to aggregate their electric loads as individual consumers with private aggregators, as defined, or as members of their local community with community choice aggregators, as defined. The bill would, with regard to community choice aggregators, authorize any municipality or any group of municipalities acting together to aggregate the electrical load of interested electricity consumers within its boundaries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www.leginfo.ca.gov/cgi-bin/postquery?bill_number=abx2_9&amp;sess=CUR&amp;house=B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10</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generating facilities: certification</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approve the siting of electrical generating facilities, as specified. This bill would require, as a condition of certification by the commission, that an applicant offer to enter into a contract to sell to an electrical corporation, a municipal corporation, or the Department of Water Resources, electrical power generated by the facility at its initial and continuing available capacity pursuant to specified terms. The bill would require the commission to adopt rules and regulations for these purposes.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www.leginfo.ca.gov/cgi-bin/postquery?bill_number=abx2_10&amp;sess=CUR&amp;house=B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28</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07/10/2001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COMMITTEE EXTRAORDINARY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The existing restructuring of the electrical services industry within the Public Utilities Act provides for the establishment of an Independent System Operator and a Power Exchange as separately incorporated public benefit nonprofit corporations. An Electricity Oversight Board (Oversight Board) is also established to oversee the Independent System Operator and the Power Exchange in order to ensure the success of electric industry restructuring and to ensure a reliable supply of electricity in the transition to a new market structure. The Oversight Board is granted various powers in order to carry out these purposes. This bill would expand the authority of the Oversight Board to act on any matters made subject to the approval or determination by the Oversight Board under law, and to investigate any matter and otherwise act consistent with these provisions to ensure that the interests of California's citizens and consumers are served, protected, and represented in relation to the electric transmission grid and generation system and related costs , including provisions for the production of information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www.leginfo.ca.gov/cgi-bin/postquery?bill_number=abx2_28&amp;sess=CUR&amp;house=B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35</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California Consumer Power and Conservation Financing Authority: electrical energy: eminent domain</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ASM JUDICIARY  Re-referred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California Consumer Power and Conservation Financing Authority for various purposes, including owning, operating, and acquiring generating facilities to ensure a sufficient and reliable supply of electricity for California's consumers at just and reasonable rates. Existing law authorizes the authority to exercise the power of eminent domain to accomplish its purposes . Existing law also authorizes the Public Utilities Commission to fix, in a single sum, the just compensation to be paid by a political subdivision for the lands, property, and rights of any character of any public utility to be acquired by the political subdivision under eminent domain proceedings. This bill would require the authority to acquire under eminent domain proceedings, for a period of at least 18 months but not to exceed 24 months, possession and use of all property , as defined, that the authority determines is necessary for the generation of electrical power. The bill would provide that any property acquired under these provisions would be under the immediate control of the authority . The bill would require the authority, upon condemning property under these provisions, to also condemn any contracts for the sale of electrical power that is generated with or on the property condemned, to which the property owner is a party. The bill would also require the authority to condemn all labor contracts necessary to provide for services the state cannot adequately and competently perform in operating and maintaining the property for the duration of the acquisition. The bill would provide that the valuation of all property acquired, for the purposes of determining just compensation to be paid, shall be equivalent to the reasonable rental value of the property, for the period of time the property is acquired, as determined by the Public Utilities Commission. The bill would provide that only property that was in operation on or before May 21, 2001, may be condemned under these provisions. The bill would specify that its provisions shall remain in effect only until January 1, 2005, and as of that date will be repealed.</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www.leginfo.ca.gov/cgi-bin/postquery?bill_number=abx2_35&amp;sess=CUR&amp;house=B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44</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renewable energy and cogeneration powerplants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establish a process to issue its final certification for any thermal powerplant and related facilities within 6 months after the filing of the application for certification, if, on the basis of an initial review, the application shows that the project will not cause a significant adverse impact on the environment or electrical system and will comply with all applicable standards, ordinances, or laws. This bill would require the commission, at the earliest possible time, to develop and implement a procedure for the regulation and siting of new or updated qualifying small power production or cogeneration facilities (QF), as defined. The bill would require the procedure to include specified requirements relating to the level of air emissions produced at a new or upgraded QF, the use of the best available control technology, as defined by the appropriate local air quality management district or air pollution control district, to be used to regulate air emissions at the facility, and the completion of a study by an applicant for certification of a new or upgraded QF of the interconnection costs and requirements if the QF will produce electric power that will be transmitted to the state power grid and sold in California. This bill would require the utility, or a private party with whom the utility contracts, to complete the study of the interconnection costs and requirements within 20 days of the receipt of the application for certification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www.leginfo.ca.gov/cgi-bin/postquery?bill_number=abx2_44&amp;sess=CUR&amp;house=B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51</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Reyes</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07/03/2001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ASM JUDICIARY  Do pass as amended and be re-referred to the Committee on Energy Costs and Availability.</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Under existing law, no electrical corporation that reduces or discontinues service in accordance with any order of the Public Utilities Commission, as specified, is liable for any damages to any person or property resulting from that reduction or discontinuance. This bill would provide that a retail or wholesale operator of an electric generation facility in this state that reduces or discontinues service for solely economic reasons , as defined, is strictly liable for any damages to any person or property, or a portion thereof based on comparative fault, if the damages are proximately caused by that reduction or discontinuance. </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www.leginfo.ca.gov/cgi-bin/postquery?bill_number=abx2_51&amp;sess=CUR&amp;house=B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65</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Cardoza</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Fuel: illegal business practices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07/11/2001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4202 ASSEMBLY COMMITTEE EXTRAORDINARY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imposes various criminal penalties for a violation of the Public Utilities Act. This bill would make it a felony for any person, firm, corporation, business, or combination thereof, to perform any act, or aid, abet, solicit, or conspire to perform any act, that creates a shortage of fuel, as defined, in California with the intent to raise fuel prices, materially adversely affect competition, or in any way violate the antitrust laws or other laws of the state regulating illegal business practices. By creating a new crime,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www.leginfo.ca.gov/cgi-bin/postquery?bill_number=abx2_65&amp;sess=CUR&amp;house=B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68</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California Infrastructure and Economic Development Bank Fund: appropriation</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Coms. on E. C. &amp; A. and J. E.D. &amp; 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The Bergeson-Peace Infrastructure and Economic Development Bank Act establishes the California Infrastructure and Economic Development Bank Fund for the purpose of funding specified types of infrastructure development projects. Existing law deems a project for the financing of costs, and categories of costs, of an electrical corporation for generation-related assets and obligations to be in the public interest and eligible for financing by the bank. This bill would transfer $50,000,000 from the General Fund to the California Infrastructure and Economic Development Bank Fund to provide low-interest loans to privately owned electrical corporations to upgrade qualifying power generation facilities to use cleaner, more energy efficient technologies.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www.leginfo.ca.gov/cgi-bin/postquery?bill_number=abx2_68&amp;sess=CUR&amp;house=B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996</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www.leginfo.ca.gov/cgi-bin/postquery?bill_number=sb_996&amp;sess=CUR&amp;house=B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1126</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take necessary action to facilitate direct transactions between electricity suppliers and end-use customers. Existing law requires the commission to authorize all customer classes to voluntarily aggregate their electrical loads. Existing law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it may do so upon written notice to the public agency and pursuant to the opt-out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www.leginfo.ca.gov/cgi-bin/postquery?bill_number=sb_1126&amp;sess=CUR&amp;house=B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07/02/2001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electrical windfall profits tax: consumer credit</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126 ASSEMBLY COMMITTEE EXTRAORDINARY REVENUE AND TAXATION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in accordance with the Legislature's stated intent to provide relief to California consumers of electrical power, would for each taxable year beginning on or after January 1, 2001, authorize a refundable California Electricity Consumers Tax Credit. The allowable credit would be computed in a manner that distributes, in equal amounts among those taxpayers required to file a tax return under the Personal Income Tax Law, a sum that is equal to the total amount due and payable under the Electric Windfall Profits Tax imposed under this bill as reduced by any amounts refunded in that taxable year.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take necessary action to facilitate direct transactions between electricity suppliers and end-use customers. The act requires the commission to authorize all customer classes to voluntarily aggregate their electrical loads. The act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the bill would authorize it do so upon written notice to the public agency and pursuant to the opt 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23</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 xml:space="preserve">8:30 a.m. - Room caliifornia Room 4203 SENATE COMMITTEE EXTRAORDINARY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until January 1, 2007, delete the application of the rebuttable presumption to the taking of electric or gas public utility property if the alternative procedure described under (2) is applied,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provide that these provisions may not be used to facilitate the entry of a city, municipal utility district, or district into the cable television or telecommunications business and that these provisions do not alter any preexisting authority of those entities to enter into the cable television or telecommunications business.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www.leginfo.ca.gov/cgi-bin/postquery?bill_number=sbx2_23&amp;sess=CUR&amp;house=B</w:t>
            </w:r>
          </w:p>
        </w:tc>
      </w:tr>
    </w:tbl>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39</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4230" w:type="dxa"/>
            <w:tcBorders/>
          </w:tcPr>
          <w:p>
            <w:pPr>
              <w:pStyle w:val="Normal"/>
              <w:rPr>
                <w:rFonts w:ascii="Arial Narrow" w:hAnsi="Arial Narrow" w:cs="Arial Narrow"/>
                <w:sz w:val="16"/>
                <w:lang w:val="en-CA"/>
              </w:rPr>
            </w:pPr>
            <w:r>
              <w:rPr>
                <w:rFonts w:cs="Arial Narrow" w:ascii="Arial Narrow" w:hAnsi="Arial Narrow"/>
                <w:sz w:val="16"/>
                <w:lang w:val="en-CA"/>
              </w:rPr>
              <w:t xml:space="preserve">2:30 p.m. or upon adjournment of U&amp;C - Room 437 ASSEMBLY COMMITTEE EXTRAORDINARY ENERGY COSTS AND AVAILABILITY </w:t>
            </w:r>
          </w:p>
          <w:p>
            <w:pPr>
              <w:pStyle w:val="Normal"/>
              <w:rPr>
                <w:rFonts w:ascii="Arial Narrow" w:hAnsi="Arial Narrow" w:cs="Arial Narrow"/>
                <w:b/>
                <w:sz w:val="16"/>
                <w:lang w:val="en-CA"/>
              </w:rPr>
            </w:pPr>
            <w:r>
              <w:rPr>
                <w:rFonts w:cs="Arial Narrow" w:ascii="Arial Narrow" w:hAnsi="Arial Narrow"/>
                <w:b/>
                <w:sz w:val="16"/>
                <w:lang w:val="en-CA"/>
              </w:rPr>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This bill would delete this provision. To the extent that this change would expand the class of utilities subject to the act, this bill would impose a state-mandated local program by changing the definition of an existing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www.leginfo.ca.gov/cgi-bin/postquery?bill_number=sbx2_39&amp;sess=CUR&amp;house=B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9180" w:type="dxa"/>
        <w:jc w:val="start"/>
        <w:tblInd w:w="18" w:type="dxa"/>
        <w:tblLayout w:type="fixed"/>
        <w:tblCellMar>
          <w:top w:w="0" w:type="dxa"/>
          <w:start w:w="108" w:type="dxa"/>
          <w:bottom w:w="0" w:type="dxa"/>
          <w:end w:w="108" w:type="dxa"/>
        </w:tblCellMar>
      </w:tblPr>
      <w:tblGrid>
        <w:gridCol w:w="1530"/>
        <w:gridCol w:w="1710"/>
        <w:gridCol w:w="1710"/>
        <w:gridCol w:w="42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76</w:t>
            </w:r>
          </w:p>
        </w:tc>
        <w:tc>
          <w:tcPr>
            <w:tcW w:w="342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40"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171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42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L.GOV.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765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7650" w:type="dxa"/>
        <w:jc w:val="start"/>
        <w:tblInd w:w="1548" w:type="dxa"/>
        <w:tblLayout w:type="fixed"/>
        <w:tblCellMar>
          <w:top w:w="0" w:type="dxa"/>
          <w:start w:w="108" w:type="dxa"/>
          <w:bottom w:w="0" w:type="dxa"/>
          <w:end w:w="108" w:type="dxa"/>
        </w:tblCellMar>
      </w:tblPr>
      <w:tblGrid>
        <w:gridCol w:w="7650"/>
      </w:tblGrid>
      <w:tr>
        <w:trPr>
          <w:trHeight w:val="216" w:hRule="atLeast"/>
        </w:trPr>
        <w:tc>
          <w:tcPr>
            <w:tcW w:w="765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www.leginfo.ca.gov/cgi-bin/postquery?bill_number=sbx2_76&amp;sess=CUR&amp;house=B</w:t>
            </w:r>
          </w:p>
        </w:tc>
      </w:tr>
    </w:tbl>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Infrastructure and Economic Development Bank Fund: appropriation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Coms. on E. C. &amp; A. and J. E.D. &amp; 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Bergeson-Peace Infrastructure and Economic Development Bank Act establishes the California Infrastructure and Economic Development Bank Fund for the purpose of funding specified types of infrastructure development projects. Existing law deems a project for the financing of costs, and categories of costs, of an electrical corporation for generation-related assets and obligations to be in the public interest and eligible for financing by the bank. This bill would transfer $50,000,000 from the General Fund to the California Infrastructure and Economic Development Bank Fund to provide low-interest loans to privately owned electrical corporations to upgrade qualifying power generation facilities to use cleaner, more energy efficient technologies.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take necessary action to facilitate direct transactions between electricity suppliers and end-use customers. Existing law requires the commission to authorize all customer classes to voluntarily aggregate their electrical loads. Existing law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it may do so upon written notice to the public agency and pursuant to the opt-out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www.leginfo.ca.gov/cgi-bin/postquery?bill_number=sb_1126&amp;sess=CUR&amp;house=B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06/20/2001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electrical windfall profits tax: consumer credit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in accordance with the Legislature's stated intent to provide relief to California consumers of electrical power, would for each taxable year beginning on or after January 1, 2001, authorize a refundable California Electricity Consumers Tax Credit. The allowable credit would be computed in a manner that distributes, in equal amounts among those taxpayers required to file a tax return under the Personal Income Tax Law, a sum that is equal to the total amount due and payable under the Electric Windfall Profits Tax imposed under this bill as reduced by any amounts refunded in that taxable year.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take necessary action to facilitate direct transactions between electricity suppliers and end-use customers. The act requires the commission to authorize all customer classes to voluntarily aggregate their electrical loads. The act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the bill would authorize it do so upon written notice to the public agency and pursuant to the opt 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8:30 a.m. - Room California Room 4203 SENATE COMMITTEE EXTRAORDINARY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until January 1, 2007, delete the application of the rebuttable presumption to the taking of electric or gas public utility property if the alternative procedure described under (2) is applied,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provide that these provisions may not be used to facilitate the entry of a city, municipal utility district, or district into the cable television or telecommunications business and that these provisions do not alter any preexisting authority of those entities to enter into the cable television or telecommunications business.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Com. on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This bill would delete this provision. To the extent that this change would expand the class of utilities subject to the act, this bill would impose a state-mandated local program by changing the definition of an existing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L.GOV.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www.leginfo.ca.gov/cgi-bin/postquery?bill_number=sbx2_76&amp;sess=CUR&amp;house=B</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ind w:end="360"/>
      <w:rPr/>
    </w:pPr>
    <w:r>
      <w:rPr/>
      <w:t>Manatt, Phelps &amp; Phillips, LLP</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Manatt, Phelps &amp; Phillips, LLP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LHVersion" w:val="2000a"/>
    <w:docVar w:name="zzmpFixed_MacPacVersion" w:val="97"/>
    <w:docVar w:name="zzmpFixedDOC_ID" w:val="1000129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Indent">
    <w:name w:val="Body Text Indent"/>
    <w:basedOn w:val="BodyText"/>
    <w:next w:val="BodyText"/>
    <w:pPr>
      <w:ind w:hanging="0" w:start="72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Normal"/>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Normal"/>
    <w:qFormat/>
    <w:pPr>
      <w:spacing w:before="0" w:after="240"/>
      <w:ind w:hanging="0" w:start="1440" w:end="1440"/>
    </w:pPr>
    <w:rPr/>
  </w:style>
  <w:style w:type="paragraph" w:styleId="Centered">
    <w:name w:val="Centered"/>
    <w:basedOn w:val="Normal"/>
    <w:next w:val="Normal"/>
    <w:qFormat/>
    <w:pPr>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L00-F05-SS">
    <w:name w:val="L00-F05-SS"/>
    <w:basedOn w:val="Normal"/>
    <w:qFormat/>
    <w:pPr>
      <w:spacing w:before="0" w:after="240"/>
      <w:ind w:firstLine="720" w:start="0" w:end="0"/>
    </w:pPr>
    <w:rPr/>
  </w:style>
  <w:style w:type="paragraph" w:styleId="L00-F05-DS">
    <w:name w:val="L00-F05-DS"/>
    <w:basedOn w:val="Normal"/>
    <w:qFormat/>
    <w:pPr>
      <w:spacing w:lineRule="auto" w:line="480"/>
      <w:ind w:firstLine="720" w:start="0" w:end="0"/>
    </w:pPr>
    <w:rPr/>
  </w:style>
  <w:style w:type="paragraph" w:styleId="L00-F10-SS">
    <w:name w:val="L00-F10-SS"/>
    <w:basedOn w:val="Normal"/>
    <w:qFormat/>
    <w:pPr>
      <w:spacing w:before="0" w:after="240"/>
      <w:ind w:firstLine="1440" w:start="0" w:end="0"/>
    </w:pPr>
    <w:rPr/>
  </w:style>
  <w:style w:type="paragraph" w:styleId="L00-F10-DS">
    <w:name w:val="L00-F10-DS"/>
    <w:basedOn w:val="Normal"/>
    <w:qFormat/>
    <w:pPr>
      <w:spacing w:lineRule="auto" w:line="480"/>
      <w:ind w:firstLine="1440" w:start="0" w:end="0"/>
    </w:pPr>
    <w:rPr/>
  </w:style>
  <w:style w:type="paragraph" w:styleId="L05-F05-SS">
    <w:name w:val="L05-F05-SS"/>
    <w:basedOn w:val="Normal"/>
    <w:qFormat/>
    <w:pPr>
      <w:spacing w:before="0" w:after="240"/>
      <w:ind w:firstLine="720" w:start="720" w:end="0"/>
    </w:pPr>
    <w:rPr/>
  </w:style>
  <w:style w:type="paragraph" w:styleId="L05-F05-DS">
    <w:name w:val="L05-F05-DS"/>
    <w:basedOn w:val="Normal"/>
    <w:qFormat/>
    <w:pPr>
      <w:spacing w:lineRule="auto" w:line="480"/>
      <w:ind w:firstLine="720" w:start="720" w:end="0"/>
    </w:pPr>
    <w:rPr/>
  </w:style>
  <w:style w:type="paragraph" w:styleId="L10-F10-SS">
    <w:name w:val="L10-F10-SS"/>
    <w:basedOn w:val="Normal"/>
    <w:qFormat/>
    <w:pPr>
      <w:spacing w:before="0" w:after="240"/>
      <w:ind w:firstLine="720" w:start="1440" w:end="0"/>
    </w:pPr>
    <w:rPr/>
  </w:style>
  <w:style w:type="paragraph" w:styleId="L10-F10-DS">
    <w:name w:val="L10-F10-DS"/>
    <w:basedOn w:val="Normal"/>
    <w:qFormat/>
    <w:pPr>
      <w:spacing w:lineRule="auto" w:line="480"/>
      <w:ind w:firstLine="720" w:start="1440" w:end="0"/>
    </w:pPr>
    <w:rPr/>
  </w:style>
  <w:style w:type="paragraph" w:styleId="L05-F00-SS">
    <w:name w:val="L05-F00-SS"/>
    <w:basedOn w:val="Normal"/>
    <w:qFormat/>
    <w:pPr>
      <w:spacing w:before="0" w:after="240"/>
      <w:ind w:hanging="0" w:start="720" w:end="0"/>
    </w:pPr>
    <w:rPr/>
  </w:style>
  <w:style w:type="paragraph" w:styleId="L05-F00-DS">
    <w:name w:val="L05-F00-DS"/>
    <w:basedOn w:val="Normal"/>
    <w:qFormat/>
    <w:pPr>
      <w:spacing w:lineRule="auto" w:line="480"/>
      <w:ind w:hanging="0" w:start="720" w:end="0"/>
    </w:pPr>
    <w:rPr/>
  </w:style>
  <w:style w:type="paragraph" w:styleId="L10-F00-SS">
    <w:name w:val="L10-F00-SS"/>
    <w:basedOn w:val="Normal"/>
    <w:qFormat/>
    <w:pPr>
      <w:spacing w:before="0" w:after="240"/>
      <w:ind w:hanging="0" w:start="1440" w:end="0"/>
    </w:pPr>
    <w:rPr/>
  </w:style>
  <w:style w:type="paragraph" w:styleId="L10-F00-DS">
    <w:name w:val="L10-F00-DS"/>
    <w:basedOn w:val="Normal"/>
    <w:qFormat/>
    <w:pPr>
      <w:spacing w:lineRule="auto" w:line="480"/>
      <w:ind w:hanging="0" w:start="1440" w:end="0"/>
    </w:pPr>
    <w:rPr/>
  </w:style>
  <w:style w:type="paragraph" w:styleId="L15-F00-SS">
    <w:name w:val="L15-F00-SS"/>
    <w:basedOn w:val="Normal"/>
    <w:qFormat/>
    <w:pPr>
      <w:spacing w:before="0" w:after="240"/>
      <w:ind w:hanging="0" w:start="2160" w:end="0"/>
    </w:pPr>
    <w:rPr/>
  </w:style>
  <w:style w:type="paragraph" w:styleId="L15-F00-DS">
    <w:name w:val="L15-F00-DS"/>
    <w:basedOn w:val="Normal"/>
    <w:qFormat/>
    <w:pPr>
      <w:spacing w:lineRule="auto" w:line="480"/>
      <w:ind w:hanging="0" w:start="2160" w:end="0"/>
    </w:pPr>
    <w:rPr/>
  </w:style>
  <w:style w:type="paragraph" w:styleId="LR05-F00-SS">
    <w:name w:val="LR05-F00-SS"/>
    <w:basedOn w:val="Normal"/>
    <w:qFormat/>
    <w:pPr>
      <w:spacing w:before="0" w:after="240"/>
      <w:ind w:hanging="0" w:start="720" w:end="720"/>
    </w:pPr>
    <w:rPr/>
  </w:style>
  <w:style w:type="paragraph" w:styleId="LR05-F00-DS">
    <w:name w:val="LR05-F00-DS"/>
    <w:basedOn w:val="Normal"/>
    <w:qFormat/>
    <w:pPr>
      <w:spacing w:lineRule="auto" w:line="480"/>
      <w:ind w:hanging="0" w:start="720" w:end="720"/>
    </w:pPr>
    <w:rPr/>
  </w:style>
  <w:style w:type="paragraph" w:styleId="LR10-F00-SS">
    <w:name w:val="LR10-F00-SS"/>
    <w:basedOn w:val="Normal"/>
    <w:qFormat/>
    <w:pPr>
      <w:spacing w:before="0" w:after="240"/>
      <w:ind w:hanging="0" w:start="1440" w:end="1440"/>
    </w:pPr>
    <w:rPr/>
  </w:style>
  <w:style w:type="paragraph" w:styleId="LR10-F00-DS">
    <w:name w:val="LR10-F00-DS"/>
    <w:basedOn w:val="Normal"/>
    <w:qFormat/>
    <w:pPr>
      <w:spacing w:lineRule="auto" w:line="480"/>
      <w:ind w:hanging="0" w:start="1440" w:end="1440"/>
    </w:pPr>
    <w:rPr/>
  </w:style>
  <w:style w:type="paragraph" w:styleId="L00-F00-SS">
    <w:name w:val="L00-F00-SS"/>
    <w:basedOn w:val="Normal"/>
    <w:qFormat/>
    <w:pPr>
      <w:spacing w:before="0" w:after="240"/>
    </w:pPr>
    <w:rPr/>
  </w:style>
  <w:style w:type="paragraph" w:styleId="L00-F00-DS">
    <w:name w:val="L00-F00-DS"/>
    <w:basedOn w:val="Normal"/>
    <w:qFormat/>
    <w:pPr>
      <w:spacing w:lineRule="auto" w:line="480"/>
    </w:pPr>
    <w:rPr/>
  </w:style>
  <w:style w:type="paragraph" w:styleId="BusinessSignature">
    <w:name w:val="Business Signature"/>
    <w:basedOn w:val="Normal"/>
    <w:qFormat/>
    <w:pPr>
      <w:tabs>
        <w:tab w:val="left" w:pos="720" w:leader="none"/>
        <w:tab w:val="right" w:pos="432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2001-07-05T16:36:00Z</dcterms:created>
  <dc:creator>Michael R. Martinez</dc:creator>
  <dc:description/>
  <dc:language>en-CA</dc:language>
  <cp:lastModifiedBy>Michael R. Martinez</cp:lastModifiedBy>
  <cp:lastPrinted>2001-07-05T12:06:00Z</cp:lastPrinted>
  <dcterms:modified xsi:type="dcterms:W3CDTF">2001-07-05T18:56:00Z</dcterms:modified>
  <cp:revision>4</cp:revision>
  <dc:subject/>
  <dc:title> </dc:title>
</cp:coreProperties>
</file>