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AMERICAS</w:t>
      </w:r>
    </w:p>
    <w:p>
      <w:pPr>
        <w:pStyle w:val="Normal"/>
        <w:jc w:val="center"/>
        <w:rPr>
          <w:b/>
          <w:sz w:val="32"/>
        </w:rPr>
      </w:pPr>
      <w:r>
        <w:rPr>
          <w:b/>
          <w:sz w:val="32"/>
        </w:rPr>
        <w:t>INTERNAL DEAL APPROVAL SHEET (“I-DASH”)</w:t>
      </w:r>
    </w:p>
    <w:p>
      <w:pPr>
        <w:pStyle w:val="Normal"/>
        <w:jc w:val="center"/>
        <w:rPr>
          <w:bCs/>
        </w:rPr>
      </w:pPr>
      <w:r>
        <w:rPr>
          <w:bCs/>
        </w:rPr>
        <w:t>(for Conforming expenditures &lt;$2,500,000)</w:t>
      </w:r>
    </w:p>
    <w:p>
      <w:pPr>
        <w:pStyle w:val="Normal"/>
        <w:rPr>
          <w:bCs/>
        </w:rPr>
      </w:pPr>
      <w:r>
        <w:rPr>
          <w:bCs/>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Heading1"/>
              <w:ind w:hanging="0" w:start="0"/>
              <w:rPr/>
            </w:pPr>
            <w:r>
              <w:rPr/>
              <w:t>DEAL NAME:  Roseville Energy Facility, LLC</w:t>
            </w:r>
          </w:p>
          <w:p>
            <w:pPr>
              <w:pStyle w:val="Heading1"/>
              <w:ind w:hanging="0" w:start="0"/>
              <w:rPr/>
            </w:pPr>
            <w:r>
              <w:rPr>
                <w:b w:val="false"/>
                <w:bCs/>
              </w:rPr>
              <w:t>Counterparty</w:t>
            </w:r>
            <w:r>
              <w:rPr/>
              <w:t xml:space="preserve">:  </w:t>
            </w:r>
            <w:r>
              <w:rPr>
                <w:b w:val="false"/>
                <w:bCs/>
              </w:rPr>
              <w:t>N/A</w:t>
            </w:r>
          </w:p>
          <w:p>
            <w:pPr>
              <w:pStyle w:val="Header"/>
              <w:widowControl/>
              <w:tabs>
                <w:tab w:val="clear" w:pos="4320"/>
                <w:tab w:val="clear" w:pos="8640"/>
              </w:tabs>
              <w:rPr/>
            </w:pPr>
            <w:r>
              <w:rPr/>
              <w:t>Business Unit:  ENA West Origination</w:t>
            </w:r>
          </w:p>
          <w:p>
            <w:pPr>
              <w:pStyle w:val="Normal"/>
              <w:rPr/>
            </w:pPr>
            <w:r>
              <w:rPr/>
              <w:t>Business Unit Originator:  Michael McDonald/David Parquet</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4/10/01</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4/13/01</w:t>
            </w:r>
          </w:p>
          <w:p>
            <w:pPr>
              <w:pStyle w:val="Normal"/>
              <w:ind w:firstLine="90" w:start="-198" w:end="-738"/>
              <w:rPr/>
            </w:pPr>
            <w:r>
              <w:rPr/>
              <w:t>Expected Funding Date:  4/12/01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Americas Management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Consulting &amp; Environmental Analysis</w:t>
        <w:tab/>
        <w:tab/>
        <w:tab/>
        <w:tab/>
        <w:tab/>
        <w:t xml:space="preserve">$200,000 </w:t>
      </w:r>
    </w:p>
    <w:p>
      <w:pPr>
        <w:pStyle w:val="Normal"/>
        <w:ind w:start="360" w:end="-36"/>
        <w:rPr/>
      </w:pPr>
      <w:r>
        <w:rPr/>
        <w:t>Option Payments for Emission Reduction Credits</w:t>
        <w:tab/>
        <w:tab/>
      </w:r>
      <w:r>
        <w:rPr>
          <w:u w:val="single"/>
        </w:rPr>
        <w:t>$700,000</w:t>
      </w:r>
    </w:p>
    <w:p>
      <w:pPr>
        <w:pStyle w:val="Normal"/>
        <w:ind w:start="360" w:end="-36"/>
        <w:rPr/>
      </w:pPr>
      <w:r>
        <w:rPr/>
        <w:t>Total</w:t>
        <w:tab/>
        <w:tab/>
        <w:tab/>
        <w:tab/>
        <w:tab/>
        <w:tab/>
        <w:tab/>
        <w:tab/>
        <w:tab/>
        <w:tab/>
        <w:tab/>
        <w:tab/>
        <w:t>$900,000</w:t>
      </w:r>
    </w:p>
    <w:p>
      <w:pPr>
        <w:pStyle w:val="Normal"/>
        <w:rPr/>
      </w:pPr>
      <w:r>
        <w:rPr/>
        <w:tab/>
      </w:r>
    </w:p>
    <w:p>
      <w:pPr>
        <w:pStyle w:val="Heading1"/>
        <w:pBdr>
          <w:top w:val="single" w:sz="8" w:space="1" w:color="000000"/>
        </w:pBdr>
        <w:ind w:hanging="0" w:start="0" w:end="-36"/>
        <w:rPr/>
      </w:pPr>
      <w:r>
        <w:rPr/>
        <w:t>EXPOSURE SUMMARY</w:t>
      </w:r>
    </w:p>
    <w:p>
      <w:pPr>
        <w:pStyle w:val="Normal"/>
        <w:ind w:start="360" w:end="0"/>
        <w:rPr/>
      </w:pPr>
      <w:r>
        <w:rPr/>
        <w:t>This transaction:</w:t>
        <w:tab/>
        <w:tab/>
        <w:tab/>
        <w:tab/>
        <w:tab/>
        <w:tab/>
        <w:tab/>
        <w:tab/>
        <w:tab/>
        <w:tab/>
      </w:r>
      <w:r>
        <w:rPr>
          <w:u w:val="single"/>
        </w:rPr>
        <w:t xml:space="preserve">$900,000  </w:t>
      </w:r>
    </w:p>
    <w:p>
      <w:pPr>
        <w:pStyle w:val="Normal"/>
        <w:ind w:start="360" w:end="0"/>
        <w:rPr/>
      </w:pPr>
      <w:r>
        <w:rPr/>
        <w:t>Total</w:t>
        <w:tab/>
        <w:tab/>
        <w:tab/>
        <w:tab/>
        <w:tab/>
        <w:tab/>
        <w:tab/>
        <w:tab/>
        <w:tab/>
        <w:tab/>
        <w:tab/>
        <w:tab/>
        <w:t>$900,000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BodyText"/>
        <w:rPr/>
      </w:pPr>
      <w:r>
        <w:rPr/>
        <w:t>ENA, through its wholly-owned subsidiary, Roseville Energy Facility, LLC (“REF”), requests $900,000 to begin development of a nominal 750 MW natural gas-fired combined cycle merchant plant in Roseville, CA (the “Project”).  This amount will ensure that some of our time-critical expenditures will be covered while the full REF DASH is being reviewed by RAC and Enron management.  We expect the full DASH will be circulated for final approval within the next two weeks.</w:t>
      </w:r>
    </w:p>
    <w:p>
      <w:pPr>
        <w:pStyle w:val="BodyText"/>
        <w:rPr/>
      </w:pPr>
      <w:r>
        <w:rPr/>
      </w:r>
    </w:p>
    <w:p>
      <w:pPr>
        <w:pStyle w:val="BodyText"/>
        <w:rPr/>
      </w:pPr>
      <w:r>
        <w:rPr/>
        <w:t>The Project will be located on 22 acres adjacent to the Pleasant Grove Wastewater Treatment Plant, presently being constructed.  The land is owned by the City of Roseville and will be leased to REF for 25 years.  The land is currently in unincorporated Placer County, but is in the process of being annexed to the City of Roseville.  ENA has signed a Memorandum of Understanding (“MOU”) with the City for the Project.  The MOU was approved unanimously by the city council and incorporates among other things; lease payments for the site, assistance in permitting and easements, water rights to potable and recycled water from the treatment plant and proposed potable water interconnections.  We are working through the terms of the land lease with the City, but do not expect any difficulties due to the overwhelming support of the City leaders and the local business community.  We expect that the land lease with the City will be completed Q2 2001.  The facility will interconnect to 230 kV transmission lines owned by Western Area Power Administration (“WAPA”).  WAPA expects to become a member of the California Independent System Operator (“CAISO”) by the time that REF is operational.  Gas will be provided by way of a 3.5 mile extension to a PG&amp;E gas line.  We have initiated a study by PG&amp;E to determine the amount of gas pipeline reinforcement that will be needed for the Project.  The estimated costs for both the extension and the system reinforcement have been included in the economics.</w:t>
      </w:r>
    </w:p>
    <w:p>
      <w:pPr>
        <w:pStyle w:val="BodyText"/>
        <w:rPr/>
      </w:pPr>
      <w:r>
        <w:rPr/>
      </w:r>
    </w:p>
    <w:p>
      <w:pPr>
        <w:pStyle w:val="BodyText"/>
        <w:rPr/>
      </w:pPr>
      <w:r>
        <w:rPr/>
        <w:t>The amount requested in this DASH will be used for option payments on emission reduction credits (“ERCs”) at a cost of $700K and for consulting and Phase I environmental analyses at a cost of $200K</w:t>
      </w:r>
      <w:r>
        <w:rPr>
          <w:i/>
          <w:iCs/>
        </w:rPr>
        <w:t xml:space="preserve">.  </w:t>
      </w:r>
      <w:r>
        <w:rPr/>
        <w:t>Of the capital requested for ERCs as part of this DASH, $600K represents an option payment for ERCs from Georgia Pacific.  The strike price on these ERCs is $5.4MM for 222 tons of ERCs at an average cost/ton of $27K/ton</w:t>
      </w:r>
      <w:r>
        <w:rPr>
          <w:i/>
          <w:iCs/>
        </w:rPr>
        <w:t>.</w:t>
      </w:r>
      <w:r>
        <w:rPr/>
        <w:t xml:space="preserve">  This compares to average price of $30K/ton for most of the other ERCs. The remaining $100K is for option payments on various smaller ERC sources.  A more detailed summary of the ERCs required for this project is included in the full DASH.  </w:t>
      </w:r>
      <w:r>
        <w:br w:type="page"/>
      </w:r>
    </w:p>
    <w:p>
      <w:pPr>
        <w:pStyle w:val="Header"/>
        <w:widowControl/>
        <w:tabs>
          <w:tab w:val="clear" w:pos="4320"/>
          <w:tab w:val="clear" w:pos="8640"/>
        </w:tabs>
        <w:rPr/>
      </w:pPr>
      <w:r>
        <w:rPr/>
      </w:r>
    </w:p>
    <w:p>
      <w:pPr>
        <w:pStyle w:val="Heading2"/>
        <w:widowControl/>
        <w:pBdr>
          <w:top w:val="single" w:sz="8" w:space="3" w:color="000000"/>
        </w:pBdr>
        <w:ind w:hanging="0" w:start="0" w:end="-36"/>
        <w:rPr>
          <w:b w:val="false"/>
          <w:i w:val="false"/>
          <w:i w:val="false"/>
        </w:rPr>
      </w:pPr>
      <w:r>
        <w:rPr>
          <w:i w:val="false"/>
        </w:rPr>
        <w:t>TRANSACTION UPSIDES</w:t>
      </w:r>
    </w:p>
    <w:p>
      <w:pPr>
        <w:pStyle w:val="Header"/>
        <w:widowControl/>
        <w:tabs>
          <w:tab w:val="clear" w:pos="4320"/>
          <w:tab w:val="clear" w:pos="8640"/>
        </w:tabs>
        <w:rPr>
          <w:b/>
          <w:i/>
          <w:i/>
        </w:rPr>
      </w:pPr>
      <w:r>
        <w:rPr>
          <w:b/>
          <w:i/>
        </w:rPr>
      </w:r>
    </w:p>
    <w:tbl>
      <w:tblPr>
        <w:tblW w:w="10260" w:type="dxa"/>
        <w:jc w:val="start"/>
        <w:tblInd w:w="108" w:type="dxa"/>
        <w:tblLayout w:type="fixed"/>
        <w:tblCellMar>
          <w:top w:w="0" w:type="dxa"/>
          <w:start w:w="108" w:type="dxa"/>
          <w:bottom w:w="0" w:type="dxa"/>
          <w:end w:w="108" w:type="dxa"/>
        </w:tblCellMar>
      </w:tblPr>
      <w:tblGrid>
        <w:gridCol w:w="3330"/>
        <w:gridCol w:w="6930"/>
      </w:tblGrid>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Potential Upside</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Description</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b/>
                <w:bCs/>
              </w:rPr>
            </w:pPr>
            <w:r>
              <w:rPr>
                <w:b/>
                <w:bCs/>
              </w:rPr>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Locational Benefits of the Project</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2"/>
              </w:numPr>
              <w:tabs>
                <w:tab w:val="clear" w:pos="4320"/>
                <w:tab w:val="clear" w:pos="8640"/>
                <w:tab w:val="left" w:pos="612" w:leader="none"/>
              </w:tabs>
              <w:ind w:hanging="360" w:start="612" w:end="0"/>
              <w:rPr/>
            </w:pPr>
            <w:r>
              <w:rPr/>
              <w:t>REF is located in an area of significant load growth with limited generation</w:t>
            </w:r>
          </w:p>
          <w:p>
            <w:pPr>
              <w:pStyle w:val="Header"/>
              <w:widowControl/>
              <w:numPr>
                <w:ilvl w:val="0"/>
                <w:numId w:val="2"/>
              </w:numPr>
              <w:tabs>
                <w:tab w:val="clear" w:pos="4320"/>
                <w:tab w:val="clear" w:pos="8640"/>
                <w:tab w:val="left" w:pos="612" w:leader="none"/>
              </w:tabs>
              <w:ind w:hanging="360" w:start="612" w:end="0"/>
              <w:rPr/>
            </w:pPr>
            <w:r>
              <w:rPr/>
              <w:t>Area is plagued by a shortage of ERCs, so the risk of construction of competing assets is reduced</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Bilateral Contracts/Toll Options</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pPr>
            <w:r>
              <w:rPr/>
              <w:t>The California Department of Water Resources (“CDWR”) is actively entering into long-term supply agreements</w:t>
            </w:r>
          </w:p>
          <w:p>
            <w:pPr>
              <w:pStyle w:val="Header"/>
              <w:widowControl/>
              <w:numPr>
                <w:ilvl w:val="0"/>
                <w:numId w:val="3"/>
              </w:numPr>
              <w:tabs>
                <w:tab w:val="clear" w:pos="4320"/>
                <w:tab w:val="clear" w:pos="8640"/>
                <w:tab w:val="left" w:pos="612" w:leader="none"/>
              </w:tabs>
              <w:ind w:hanging="360" w:start="612" w:end="0"/>
              <w:rPr/>
            </w:pPr>
            <w:r>
              <w:rPr/>
              <w:t>The City of Roseville and the Northern California Power Agency have expressed an interest in a toll from the Project</w:t>
            </w:r>
          </w:p>
          <w:p>
            <w:pPr>
              <w:pStyle w:val="Header"/>
              <w:widowControl/>
              <w:numPr>
                <w:ilvl w:val="0"/>
                <w:numId w:val="3"/>
              </w:numPr>
              <w:tabs>
                <w:tab w:val="clear" w:pos="4320"/>
                <w:tab w:val="clear" w:pos="8640"/>
                <w:tab w:val="left" w:pos="612" w:leader="none"/>
              </w:tabs>
              <w:ind w:hanging="360" w:start="612" w:end="0"/>
              <w:rPr/>
            </w:pPr>
            <w:r>
              <w:rPr/>
              <w:t>Bilateral contracts and toll arrangements attract a wider range of potential investors in the project, thereby increasing the potential sales proceeds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Transferability/Marketability of the ERCs</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pPr>
            <w:r>
              <w:rPr/>
              <w:t>Both the Georgia Pacific and the other ERCs that are being optioned in this IDASH were being pursued by other parties looking to site plants in the area</w:t>
            </w:r>
          </w:p>
          <w:p>
            <w:pPr>
              <w:pStyle w:val="Header"/>
              <w:widowControl/>
              <w:numPr>
                <w:ilvl w:val="0"/>
                <w:numId w:val="3"/>
              </w:numPr>
              <w:tabs>
                <w:tab w:val="clear" w:pos="4320"/>
                <w:tab w:val="clear" w:pos="8640"/>
                <w:tab w:val="left" w:pos="612" w:leader="none"/>
              </w:tabs>
              <w:ind w:hanging="360" w:start="612" w:end="0"/>
              <w:rPr/>
            </w:pPr>
            <w:r>
              <w:rPr/>
              <w:t>Additionally there are other industrial facilities and brokers in the air basin interested in obtaining ERCs</w:t>
            </w:r>
          </w:p>
        </w:tc>
      </w:tr>
    </w:tbl>
    <w:p>
      <w:pPr>
        <w:pStyle w:val="Header"/>
        <w:widowControl/>
        <w:tabs>
          <w:tab w:val="clear" w:pos="4320"/>
          <w:tab w:val="clear" w:pos="8640"/>
        </w:tabs>
        <w:rPr/>
      </w:pPr>
      <w:r>
        <w:rPr/>
      </w:r>
    </w:p>
    <w:p>
      <w:pPr>
        <w:pStyle w:val="Heading2"/>
        <w:widowControl/>
        <w:pBdr>
          <w:top w:val="single" w:sz="8" w:space="3" w:color="000000"/>
        </w:pBdr>
        <w:ind w:hanging="0" w:start="0" w:end="-36"/>
        <w:rPr>
          <w:i w:val="false"/>
          <w:i w:val="false"/>
        </w:rPr>
      </w:pPr>
      <w:r>
        <w:rPr>
          <w:i w:val="false"/>
        </w:rPr>
        <w:t>EXIT STRATEGY</w:t>
      </w:r>
    </w:p>
    <w:p>
      <w:pPr>
        <w:pStyle w:val="Normal"/>
        <w:rPr>
          <w:i/>
          <w:i/>
        </w:rPr>
      </w:pPr>
      <w:r>
        <w:rPr>
          <w:i/>
        </w:rPr>
      </w:r>
    </w:p>
    <w:p>
      <w:pPr>
        <w:pStyle w:val="Normal"/>
        <w:rPr/>
      </w:pPr>
      <w:r>
        <w:rPr/>
        <w:t>ENA’s exit strategy is to sell REF at the completion of permitting.  However if the project does not proceed, the ERCs will either be utilized on another project or sold into the market.</w:t>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RISK MATRIX</w:t>
      </w:r>
    </w:p>
    <w:p>
      <w:pPr>
        <w:pStyle w:val="Heading2"/>
        <w:widowControl/>
        <w:pBdr>
          <w:top w:val="single" w:sz="8" w:space="1" w:color="000000"/>
        </w:pBdr>
        <w:ind w:hanging="0" w:start="0" w:end="-36"/>
        <w:rPr>
          <w:b w:val="false"/>
          <w:i w:val="false"/>
          <w:i w:val="false"/>
        </w:rPr>
      </w:pPr>
      <w:r>
        <w:rPr>
          <w:b w:val="false"/>
          <w:i w:val="false"/>
        </w:rPr>
        <w:t xml:space="preserve"> </w:t>
      </w:r>
    </w:p>
    <w:tbl>
      <w:tblPr>
        <w:tblW w:w="10260" w:type="dxa"/>
        <w:jc w:val="start"/>
        <w:tblInd w:w="108" w:type="dxa"/>
        <w:tblLayout w:type="fixed"/>
        <w:tblCellMar>
          <w:top w:w="0" w:type="dxa"/>
          <w:start w:w="108" w:type="dxa"/>
          <w:bottom w:w="0" w:type="dxa"/>
          <w:end w:w="108" w:type="dxa"/>
        </w:tblCellMar>
      </w:tblPr>
      <w:tblGrid>
        <w:gridCol w:w="4050"/>
        <w:gridCol w:w="621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62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b/>
              </w:rPr>
            </w:pPr>
            <w:r>
              <w:rPr>
                <w:b/>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Development Cost Risk</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The initial development costs listed above reflect costs for engaging environmental consultants and engineers to prepare the California Energy Commission application.  While these costs represent a sunk cost once paid, the consulting agreements will allow us to cease work if the project is stopped.  Therefore we will not be obligated for a long-term commitment.  Additionally, we are hoping to get the full DASH approved within two to three weeks so we may not utilize the full amount requested under this IDASH.</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ERC Risk</w:t>
            </w:r>
          </w:p>
        </w:tc>
        <w:tc>
          <w:tcPr>
            <w:tcW w:w="6210" w:type="dxa"/>
            <w:tcBorders>
              <w:top w:val="single" w:sz="6" w:space="0" w:color="000000"/>
              <w:start w:val="single" w:sz="6" w:space="0" w:color="000000"/>
              <w:bottom w:val="single" w:sz="6" w:space="0" w:color="000000"/>
              <w:end w:val="single" w:sz="6" w:space="0" w:color="000000"/>
            </w:tcBorders>
          </w:tcPr>
          <w:p>
            <w:pPr>
              <w:pStyle w:val="Normal"/>
              <w:ind w:start="45" w:end="0"/>
              <w:jc w:val="both"/>
              <w:rPr/>
            </w:pPr>
            <w:r>
              <w:rPr/>
              <w:t>The capital requested for ERCs under this IDASH represent option payments for the ERCs.  The balance of the ERC cost will be covered under the full DASH.  If the project does not proceed, we can either forgo exercising the options or pay the balance and then remarket the ERCs.  Given the tight supply of ERCs in this area and the other potential purchasers (other plant developers, industrials, and brokers), we should be able to recover our purchase price of the ERCs.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rPr>
                <w:i/>
                <w:i/>
                <w:iCs/>
              </w:rPr>
            </w:pPr>
            <w:r>
              <w:rPr>
                <w:i/>
                <w:iCs/>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iCs/>
              </w:rPr>
            </w:pPr>
            <w:r>
              <w:rPr>
                <w:i/>
                <w:iCs/>
              </w:rPr>
            </w:r>
          </w:p>
        </w:tc>
      </w:tr>
    </w:tbl>
    <w:p>
      <w:pPr>
        <w:pStyle w:val="Normal"/>
        <w:rPr/>
      </w:pPr>
      <w:r>
        <w:rPr/>
      </w:r>
      <w:r>
        <w:br w:type="page"/>
      </w:r>
    </w:p>
    <w:p>
      <w:pPr>
        <w:pStyle w:val="Normal"/>
        <w:rPr/>
      </w:pPr>
      <w:r>
        <w:rPr/>
      </w:r>
    </w:p>
    <w:p>
      <w:pPr>
        <w:pStyle w:val="Heading2"/>
        <w:widowControl/>
        <w:pBdr>
          <w:top w:val="single" w:sz="8" w:space="1" w:color="000000"/>
        </w:pBdr>
        <w:ind w:hanging="0" w:start="0" w:end="-36"/>
        <w:rPr>
          <w:i w:val="false"/>
          <w:i w:val="false"/>
        </w:rPr>
      </w:pPr>
      <w:r>
        <w:rPr>
          <w:i w:val="false"/>
        </w:rPr>
        <w:t>TRANSACTION SOURCES AND USES OF FUNDS</w:t>
      </w:r>
      <w:r>
        <w:rPr>
          <w:i w:val="false"/>
          <w:color w:val="FF0000"/>
        </w:rPr>
        <w:t xml:space="preserve"> </w:t>
      </w:r>
    </w:p>
    <w:tbl>
      <w:tblPr>
        <w:tblW w:w="10260" w:type="dxa"/>
        <w:jc w:val="start"/>
        <w:tblInd w:w="108" w:type="dxa"/>
        <w:tblLayout w:type="fixed"/>
        <w:tblCellMar>
          <w:top w:w="0" w:type="dxa"/>
          <w:start w:w="108" w:type="dxa"/>
          <w:bottom w:w="0" w:type="dxa"/>
          <w:end w:w="108" w:type="dxa"/>
        </w:tblCellMar>
      </w:tblPr>
      <w:tblGrid>
        <w:gridCol w:w="2430"/>
        <w:gridCol w:w="1260"/>
        <w:gridCol w:w="1170"/>
        <w:gridCol w:w="3330"/>
        <w:gridCol w:w="2070"/>
      </w:tblGrid>
      <w:tr>
        <w:trPr/>
        <w:tc>
          <w:tcPr>
            <w:tcW w:w="243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170" w:type="dxa"/>
            <w:tcBorders/>
          </w:tcPr>
          <w:p>
            <w:pPr>
              <w:pStyle w:val="Normal"/>
              <w:snapToGrid w:val="false"/>
              <w:jc w:val="end"/>
              <w:rPr>
                <w:u w:val="single"/>
              </w:rPr>
            </w:pPr>
            <w:r>
              <w:rPr>
                <w:u w:val="single"/>
              </w:rPr>
            </w:r>
          </w:p>
        </w:tc>
        <w:tc>
          <w:tcPr>
            <w:tcW w:w="3330" w:type="dxa"/>
            <w:tcBorders/>
          </w:tcPr>
          <w:p>
            <w:pPr>
              <w:pStyle w:val="Normal"/>
              <w:snapToGrid w:val="false"/>
              <w:jc w:val="end"/>
              <w:rPr>
                <w:u w:val="single"/>
              </w:rPr>
            </w:pPr>
            <w:r>
              <w:rPr>
                <w:u w:val="single"/>
              </w:rPr>
            </w:r>
          </w:p>
        </w:tc>
        <w:tc>
          <w:tcPr>
            <w:tcW w:w="2070" w:type="dxa"/>
            <w:tcBorders/>
          </w:tcPr>
          <w:p>
            <w:pPr>
              <w:pStyle w:val="Normal"/>
              <w:jc w:val="end"/>
              <w:rPr>
                <w:u w:val="single"/>
              </w:rPr>
            </w:pPr>
            <w:r>
              <w:rPr>
                <w:u w:val="single"/>
              </w:rPr>
              <w:t>Uses</w:t>
            </w:r>
          </w:p>
        </w:tc>
      </w:tr>
      <w:tr>
        <w:trPr/>
        <w:tc>
          <w:tcPr>
            <w:tcW w:w="2430" w:type="dxa"/>
            <w:tcBorders/>
          </w:tcPr>
          <w:p>
            <w:pPr>
              <w:pStyle w:val="Header"/>
              <w:widowControl/>
              <w:tabs>
                <w:tab w:val="clear" w:pos="4320"/>
                <w:tab w:val="clear" w:pos="8640"/>
              </w:tabs>
              <w:rPr/>
            </w:pPr>
            <w:r>
              <w:rPr/>
              <w:t>Equity*</w:t>
            </w:r>
          </w:p>
        </w:tc>
        <w:tc>
          <w:tcPr>
            <w:tcW w:w="1260" w:type="dxa"/>
            <w:tcBorders/>
          </w:tcPr>
          <w:p>
            <w:pPr>
              <w:pStyle w:val="Normal"/>
              <w:jc w:val="end"/>
              <w:rPr/>
            </w:pPr>
            <w:r>
              <w:rPr/>
              <w:t>$900,000</w:t>
            </w:r>
          </w:p>
        </w:tc>
        <w:tc>
          <w:tcPr>
            <w:tcW w:w="1170" w:type="dxa"/>
            <w:tcBorders/>
          </w:tcPr>
          <w:p>
            <w:pPr>
              <w:pStyle w:val="Normal"/>
              <w:snapToGrid w:val="false"/>
              <w:jc w:val="end"/>
              <w:rPr/>
            </w:pPr>
            <w:r>
              <w:rPr/>
            </w:r>
          </w:p>
        </w:tc>
        <w:tc>
          <w:tcPr>
            <w:tcW w:w="3330" w:type="dxa"/>
            <w:tcBorders/>
          </w:tcPr>
          <w:p>
            <w:pPr>
              <w:pStyle w:val="Header"/>
              <w:widowControl/>
              <w:tabs>
                <w:tab w:val="clear" w:pos="4320"/>
                <w:tab w:val="clear" w:pos="8640"/>
              </w:tabs>
              <w:rPr/>
            </w:pPr>
            <w:r>
              <w:rPr/>
              <w:t>Consulting and Environmental Analysis</w:t>
            </w:r>
          </w:p>
        </w:tc>
        <w:tc>
          <w:tcPr>
            <w:tcW w:w="2070" w:type="dxa"/>
            <w:tcBorders/>
          </w:tcPr>
          <w:p>
            <w:pPr>
              <w:pStyle w:val="Normal"/>
              <w:jc w:val="end"/>
              <w:rPr/>
            </w:pPr>
            <w:r>
              <w:rPr/>
              <w:t>$200,000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Georgia Pacific ERC Option</w:t>
            </w:r>
          </w:p>
        </w:tc>
        <w:tc>
          <w:tcPr>
            <w:tcW w:w="2070" w:type="dxa"/>
            <w:tcBorders/>
          </w:tcPr>
          <w:p>
            <w:pPr>
              <w:pStyle w:val="Normal"/>
              <w:jc w:val="end"/>
              <w:rPr/>
            </w:pPr>
            <w:r>
              <w:rPr/>
              <w:t>$600,000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Wallace Ranch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Golden State Natural Gas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Calpine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Lauppe Farms ERC Option</w:t>
            </w:r>
          </w:p>
        </w:tc>
        <w:tc>
          <w:tcPr>
            <w:tcW w:w="2070" w:type="dxa"/>
            <w:tcBorders/>
          </w:tcPr>
          <w:p>
            <w:pPr>
              <w:pStyle w:val="Normal"/>
              <w:jc w:val="end"/>
              <w:rPr/>
            </w:pPr>
            <w:r>
              <w:rPr/>
              <w:t>$  10,000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Other to be determined ERC Options</w:t>
            </w:r>
          </w:p>
        </w:tc>
        <w:tc>
          <w:tcPr>
            <w:tcW w:w="2070" w:type="dxa"/>
            <w:tcBorders/>
          </w:tcPr>
          <w:p>
            <w:pPr>
              <w:pStyle w:val="Normal"/>
              <w:jc w:val="end"/>
              <w:rPr/>
            </w:pPr>
            <w:r>
              <w:rPr/>
              <w:t>$  30,000</w:t>
            </w:r>
          </w:p>
        </w:tc>
      </w:tr>
      <w:tr>
        <w:trPr/>
        <w:tc>
          <w:tcPr>
            <w:tcW w:w="2430" w:type="dxa"/>
            <w:tcBorders/>
          </w:tcPr>
          <w:p>
            <w:pPr>
              <w:pStyle w:val="Normal"/>
              <w:rPr/>
            </w:pPr>
            <w:r>
              <w:rPr/>
              <w:t xml:space="preserve">    </w:t>
            </w:r>
            <w:r>
              <w:rPr/>
              <w:t>Total</w:t>
            </w:r>
          </w:p>
        </w:tc>
        <w:tc>
          <w:tcPr>
            <w:tcW w:w="1260" w:type="dxa"/>
            <w:tcBorders>
              <w:top w:val="single" w:sz="4" w:space="0" w:color="000000"/>
            </w:tcBorders>
          </w:tcPr>
          <w:p>
            <w:pPr>
              <w:pStyle w:val="Normal"/>
              <w:jc w:val="end"/>
              <w:rPr>
                <w:b/>
                <w:bCs/>
              </w:rPr>
            </w:pPr>
            <w:r>
              <w:rPr>
                <w:b/>
                <w:bCs/>
              </w:rPr>
              <w:t>$900,000</w:t>
            </w:r>
          </w:p>
        </w:tc>
        <w:tc>
          <w:tcPr>
            <w:tcW w:w="1170" w:type="dxa"/>
            <w:tcBorders/>
          </w:tcPr>
          <w:p>
            <w:pPr>
              <w:pStyle w:val="Normal"/>
              <w:snapToGrid w:val="false"/>
              <w:jc w:val="end"/>
              <w:rPr>
                <w:b/>
                <w:bCs/>
              </w:rPr>
            </w:pPr>
            <w:r>
              <w:rPr>
                <w:b/>
                <w:bCs/>
              </w:rPr>
            </w:r>
          </w:p>
        </w:tc>
        <w:tc>
          <w:tcPr>
            <w:tcW w:w="3330" w:type="dxa"/>
            <w:tcBorders/>
          </w:tcPr>
          <w:p>
            <w:pPr>
              <w:pStyle w:val="Normal"/>
              <w:rPr/>
            </w:pPr>
            <w:r>
              <w:rPr/>
              <w:t xml:space="preserve">    </w:t>
            </w:r>
            <w:r>
              <w:rPr/>
              <w:t>Total</w:t>
            </w:r>
          </w:p>
        </w:tc>
        <w:tc>
          <w:tcPr>
            <w:tcW w:w="2070" w:type="dxa"/>
            <w:tcBorders>
              <w:top w:val="single" w:sz="4" w:space="0" w:color="000000"/>
            </w:tcBorders>
          </w:tcPr>
          <w:p>
            <w:pPr>
              <w:pStyle w:val="Normal"/>
              <w:jc w:val="end"/>
              <w:rPr>
                <w:b/>
                <w:bCs/>
              </w:rPr>
            </w:pPr>
            <w:r>
              <w:rPr>
                <w:b/>
                <w:bCs/>
              </w:rPr>
              <w:t>$900,000</w:t>
            </w:r>
          </w:p>
        </w:tc>
      </w:tr>
    </w:tbl>
    <w:p>
      <w:pPr>
        <w:pStyle w:val="Heading2"/>
        <w:widowControl/>
        <w:ind w:hanging="0" w:start="0" w:end="-36"/>
        <w:rPr>
          <w:i w:val="false"/>
          <w:i w:val="false"/>
        </w:rPr>
      </w:pPr>
      <w:r>
        <w:rPr>
          <w:i w:val="false"/>
        </w:rPr>
      </w:r>
    </w:p>
    <w:p>
      <w:pPr>
        <w:pStyle w:val="Heading2"/>
        <w:widowControl/>
        <w:ind w:hanging="0" w:start="0" w:end="-36"/>
        <w:rPr/>
      </w:pPr>
      <w:r>
        <w:rPr>
          <w:b w:val="false"/>
          <w:bCs/>
          <w:i w:val="false"/>
          <w:sz w:val="16"/>
        </w:rPr>
        <w:t>*</w:t>
      </w:r>
      <w:r>
        <w:rPr>
          <w:i w:val="false"/>
          <w:sz w:val="16"/>
        </w:rPr>
        <w:t>Balance Sheet</w:t>
      </w:r>
    </w:p>
    <w:p>
      <w:pPr>
        <w:pStyle w:val="Header"/>
        <w:widowControl/>
        <w:tabs>
          <w:tab w:val="clear" w:pos="4320"/>
          <w:tab w:val="clear" w:pos="8640"/>
        </w:tabs>
        <w:rPr>
          <w:i/>
          <w:i/>
          <w:sz w:val="16"/>
        </w:rPr>
      </w:pPr>
      <w:r>
        <w:rPr>
          <w:i/>
          <w:sz w:val="16"/>
        </w:rPr>
      </w:r>
    </w:p>
    <w:p>
      <w:pPr>
        <w:pStyle w:val="Heading2"/>
        <w:widowControl/>
        <w:pBdr>
          <w:top w:val="single" w:sz="8" w:space="1" w:color="000000"/>
        </w:pBdr>
        <w:ind w:hanging="0" w:start="0" w:end="-36"/>
        <w:rPr/>
      </w:pPr>
      <w:r>
        <w:rPr>
          <w:i w:val="false"/>
        </w:rPr>
        <w:t>DEAL ORIGINATION DETERMINISTIC RETURN SUMMARY</w:t>
      </w:r>
      <w:r>
        <w:rPr>
          <w:i w:val="false"/>
          <w:color w:val="FF0000"/>
        </w:rPr>
        <w:t xml:space="preserve"> </w:t>
      </w:r>
    </w:p>
    <w:p>
      <w:pPr>
        <w:pStyle w:val="Normal"/>
        <w:rPr>
          <w:i/>
          <w:i/>
          <w:color w:val="FF0000"/>
        </w:rPr>
      </w:pPr>
      <w:r>
        <w:rPr>
          <w:i/>
          <w:color w:val="FF0000"/>
        </w:rPr>
      </w:r>
    </w:p>
    <w:p>
      <w:pPr>
        <w:pStyle w:val="Normal"/>
        <w:rPr/>
      </w:pPr>
      <w:r>
        <w:rPr>
          <w:bCs/>
        </w:rPr>
        <w:t>Prospectively, a buyer of the Project should be able to achieve a post-tax levered equity IRR of approximately 15.34% with an NPV12 of $94.8MM assuming 52% non-recourse debt at a 15 year LIBOR swap of 6.25% plus an average spread of 200 bps is placed at the commercial operation date (3/31/05) and utilizing the March 2001 Henwood curves for gas and power.</w:t>
      </w:r>
      <w:r>
        <w:rPr>
          <w:b/>
        </w:rPr>
        <w:t xml:space="preserve"> </w:t>
      </w:r>
    </w:p>
    <w:p>
      <w:pPr>
        <w:pStyle w:val="Normal"/>
        <w:rPr>
          <w:b/>
        </w:rPr>
      </w:pPr>
      <w:r>
        <w:rPr>
          <w:b/>
        </w:rPr>
        <w:t>___________________________________________________________________________________________________</w:t>
      </w:r>
    </w:p>
    <w:p>
      <w:pPr>
        <w:pStyle w:val="Normal"/>
        <w:rPr>
          <w:b/>
        </w:rPr>
      </w:pPr>
      <w:r>
        <w:rPr>
          <w:b/>
        </w:rPr>
        <w:t>KEY SUCCESS FACTORS</w:t>
      </w:r>
      <w:r>
        <w:rPr>
          <w:b/>
          <w:color w:val="FF0000"/>
        </w:rPr>
        <w:t xml:space="preserve"> </w:t>
      </w:r>
    </w:p>
    <w:p>
      <w:pPr>
        <w:pStyle w:val="Normal"/>
        <w:rPr>
          <w:b/>
        </w:rPr>
      </w:pPr>
      <w:r>
        <w:rPr>
          <w:b/>
        </w:rPr>
      </w:r>
    </w:p>
    <w:tbl>
      <w:tblPr>
        <w:tblW w:w="10260" w:type="dxa"/>
        <w:jc w:val="start"/>
        <w:tblInd w:w="108" w:type="dxa"/>
        <w:tblLayout w:type="fixed"/>
        <w:tblCellMar>
          <w:top w:w="0" w:type="dxa"/>
          <w:start w:w="108" w:type="dxa"/>
          <w:bottom w:w="0" w:type="dxa"/>
          <w:end w:w="108" w:type="dxa"/>
        </w:tblCellMar>
      </w:tblPr>
      <w:tblGrid>
        <w:gridCol w:w="3240"/>
        <w:gridCol w:w="1170"/>
        <w:gridCol w:w="585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585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Poor                                                                                        Excellent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4482" w:leader="none"/>
              </w:tabs>
              <w:ind w:firstLine="4814" w:end="0"/>
              <w:rPr/>
            </w:pPr>
            <w:r>
              <w:rPr/>
              <w:t xml:space="preserve">X                                           </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4814"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3762"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58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2142" w:end="0"/>
              <w:rPr/>
            </w:pPr>
            <w:r>
              <w:rPr/>
              <w:t>X</w:t>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COMMENTS: </w:t>
      </w:r>
    </w:p>
    <w:p>
      <w:pPr>
        <w:pStyle w:val="Normal"/>
        <w:rPr>
          <w:b/>
        </w:rPr>
      </w:pPr>
      <w:r>
        <w:rPr>
          <w:b/>
        </w:rPr>
      </w:r>
    </w:p>
    <w:p>
      <w:pPr>
        <w:pStyle w:val="Normal"/>
        <w:rPr>
          <w:b/>
        </w:rPr>
      </w:pPr>
      <w:r>
        <w:rPr>
          <w:b/>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Deal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Michael McDonald/David Parquet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West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Christopher Calger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Joe Deffner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Wes Colwell</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tabs>
          <w:tab w:val="clear" w:pos="360"/>
          <w:tab w:val="left" w:pos="720" w:leader="none"/>
        </w:tabs>
        <w:rPr/>
      </w:pPr>
      <w:r>
        <w:rPr/>
      </w:r>
    </w:p>
    <w:p>
      <w:pPr>
        <w:pStyle w:val="Normal"/>
        <w:tabs>
          <w:tab w:val="clear" w:pos="360"/>
          <w:tab w:val="left" w:pos="720" w:leader="none"/>
        </w:tabs>
        <w:rPr/>
      </w:pPr>
      <w:r>
        <w:rPr/>
      </w:r>
    </w:p>
    <w:p>
      <w:pPr>
        <w:pStyle w:val="Normal"/>
        <w:tabs>
          <w:tab w:val="clear" w:pos="360"/>
          <w:tab w:val="left" w:pos="720" w:leader="none"/>
        </w:tabs>
        <w:rPr/>
      </w:pPr>
      <w:r>
        <w:rPr/>
        <w:t>Cc:  Chip Schneider, VP Commercial Underwriting, RAC, EB2852</w:t>
      </w:r>
      <w:r>
        <w:br w:type="page"/>
      </w:r>
    </w:p>
    <w:p>
      <w:pPr>
        <w:pStyle w:val="Normal"/>
        <w:rPr>
          <w:b/>
          <w:sz w:val="28"/>
          <w:u w:val="single"/>
        </w:rPr>
      </w:pPr>
      <w:r>
        <w:rPr>
          <w:b/>
          <w:sz w:val="28"/>
          <w:u w:val="single"/>
        </w:rPr>
        <w:t>Americas Finance Summary (addendum to I-DASH)</w:t>
      </w:r>
    </w:p>
    <w:p>
      <w:pPr>
        <w:pStyle w:val="Normal"/>
        <w:jc w:val="end"/>
        <w:rPr>
          <w:b/>
          <w:sz w:val="28"/>
          <w:u w:val="single"/>
        </w:rPr>
      </w:pPr>
      <w:r>
        <w:rPr>
          <w:b/>
          <w:sz w:val="28"/>
          <w:u w:val="single"/>
        </w:rPr>
      </w:r>
    </w:p>
    <w:p>
      <w:pPr>
        <w:pStyle w:val="Normal"/>
        <w:numPr>
          <w:ilvl w:val="0"/>
          <w:numId w:val="4"/>
        </w:numPr>
        <w:tabs>
          <w:tab w:val="clear" w:pos="36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snapToGrid w:val="false"/>
              <w:jc w:val="end"/>
              <w:rPr/>
            </w:pPr>
            <w:r>
              <w:rPr/>
            </w:r>
          </w:p>
        </w:tc>
      </w:tr>
      <w:tr>
        <w:trPr/>
        <w:tc>
          <w:tcPr>
            <w:tcW w:w="7650" w:type="dxa"/>
            <w:tcBorders/>
          </w:tcPr>
          <w:p>
            <w:pPr>
              <w:pStyle w:val="Normal"/>
              <w:rPr/>
            </w:pPr>
            <w:r>
              <w:rPr/>
              <w:t>Total Deal/Project Capital Commitment</w:t>
            </w:r>
          </w:p>
        </w:tc>
        <w:tc>
          <w:tcPr>
            <w:tcW w:w="2250" w:type="dxa"/>
            <w:tcBorders/>
          </w:tcPr>
          <w:p>
            <w:pPr>
              <w:pStyle w:val="Normal"/>
              <w:jc w:val="end"/>
              <w:rPr/>
            </w:pPr>
            <w:r>
              <w:rPr/>
              <w:t>$</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Financing terms and pricing:</w:t>
      </w:r>
      <w:r>
        <w:rPr/>
        <w:tab/>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Legal or practical liquidity restrictions:</w:t>
      </w:r>
      <w:r>
        <w:rPr/>
        <w:tab/>
        <w:tab/>
        <w:tab/>
      </w:r>
      <w:r>
        <w:rPr>
          <w:rFonts w:eastAsia="Monotype Sorts;Symbol" w:cs="Monotype Sorts;Symbol" w:ascii="Monotype Sorts;Symbol" w:hAnsi="Monotype Sorts;Symbol"/>
        </w:rPr>
        <w:sym w:font="Monotype Sorts;Symbol" w:char="f06f"/>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r>
      <w:r>
        <w:rPr>
          <w:rFonts w:eastAsia="Monotype Sorts;Symbol" w:cs="Monotype Sorts;Symbol" w:ascii="Monotype Sorts;Symbol" w:hAnsi="Monotype Sorts;Symbol"/>
        </w:rPr>
        <w:sym w:font="Monotype Sorts;Symbol" w:char="f06f"/>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br/>
        <w:br/>
      </w:r>
    </w:p>
    <w:p>
      <w:pPr>
        <w:pStyle w:val="Normal"/>
        <w:numPr>
          <w:ilvl w:val="0"/>
          <w:numId w:val="6"/>
        </w:numPr>
        <w:rPr/>
      </w:pPr>
      <w:r>
        <w:rPr>
          <w:b/>
        </w:rPr>
        <w:t>Business unit intent to syndicate:</w:t>
      </w:r>
      <w:r>
        <w:rPr/>
        <w:tab/>
        <w:tab/>
        <w:tab/>
        <w:tab/>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br/>
        <w:t>Describe (if necessary):</w:t>
        <w:br/>
        <w:br/>
        <w:br/>
      </w:r>
    </w:p>
    <w:p>
      <w:pPr>
        <w:pStyle w:val="Normal"/>
        <w:numPr>
          <w:ilvl w:val="0"/>
          <w:numId w:val="9"/>
        </w:numPr>
        <w:rPr/>
      </w:pPr>
      <w:r>
        <w:rPr>
          <w:b/>
        </w:rPr>
        <w:t>Intended Enron hold period:</w:t>
      </w:r>
      <w:r>
        <w:rPr/>
        <w:br/>
        <w:br/>
        <w:br/>
        <w:br/>
      </w:r>
    </w:p>
    <w:p>
      <w:pPr>
        <w:pStyle w:val="Normal"/>
        <w:numPr>
          <w:ilvl w:val="0"/>
          <w:numId w:val="5"/>
        </w:numPr>
        <w:rPr>
          <w:b/>
        </w:rPr>
      </w:pPr>
      <w:r>
        <w:rPr>
          <w:b/>
        </w:rPr>
        <w:t>Likely Syndication Market:</w:t>
      </w:r>
      <w:r>
        <w:rPr/>
        <w:tab/>
        <w:tab/>
        <w:tab/>
      </w:r>
      <w:r>
        <w:rPr>
          <w:rFonts w:eastAsia="Monotype Sorts;Symbol" w:cs="Monotype Sorts;Symbol" w:ascii="Monotype Sorts;Symbol" w:hAnsi="Monotype Sorts;Symbol"/>
        </w:rPr>
        <w:sym w:font="Monotype Sorts;Symbol" w:char="f06f"/>
      </w:r>
      <w:r>
        <w:rPr>
          <w:b/>
        </w:rPr>
        <w:t xml:space="preserve"> Industry/Strategic Partner</w:t>
        <w:tab/>
      </w:r>
      <w:r>
        <w:rPr>
          <w:rFonts w:eastAsia="Monotype Sorts;Symbol" w:cs="Monotype Sorts;Symbol" w:ascii="Monotype Sorts;Symbol" w:hAnsi="Monotype Sorts;Symbol"/>
        </w:rPr>
        <w:sym w:font="Monotype Sorts;Symbol" w:char="f06f"/>
      </w:r>
      <w:r>
        <w:rPr>
          <w:b/>
        </w:rPr>
        <w:t xml:space="preserve"> Direct Private Equity</w:t>
      </w:r>
    </w:p>
    <w:p>
      <w:pPr>
        <w:pStyle w:val="Normal"/>
        <w:ind w:firstLine="360" w:start="4680" w:end="0"/>
        <w:rPr/>
      </w:pPr>
      <w:r>
        <w:rPr>
          <w:rFonts w:eastAsia="Monotype Sorts;Symbol" w:cs="Monotype Sorts;Symbol" w:ascii="Monotype Sorts;Symbol" w:hAnsi="Monotype Sorts;Symbol"/>
        </w:rPr>
        <w:sym w:font="Monotype Sorts;Symbol" w:char="f06f"/>
      </w:r>
      <w:r>
        <w:rPr>
          <w:b/>
        </w:rPr>
        <w:t xml:space="preserve"> </w:t>
      </w:r>
      <w:r>
        <w:rPr>
          <w:b/>
        </w:rPr>
        <w:t>Capital Markets</w:t>
        <w:tab/>
        <w:tab/>
        <w:tab/>
        <w:tab/>
      </w:r>
      <w:r>
        <w:rPr>
          <w:rFonts w:eastAsia="Monotype Sorts;Symbol" w:cs="Monotype Sorts;Symbol" w:ascii="Monotype Sorts;Symbol" w:hAnsi="Monotype Sorts;Symbol"/>
        </w:rPr>
        <w:sym w:font="Monotype Sorts;Symbol" w:char="f06f"/>
      </w:r>
      <w:r>
        <w:rPr>
          <w:b/>
        </w:rPr>
        <w:t xml:space="preserve"> JEDI 1</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JEDI 2</w:t>
        <w:tab/>
        <w:tab/>
        <w:tab/>
        <w:tab/>
        <w:tab/>
        <w:tab/>
      </w:r>
      <w:r>
        <w:rPr>
          <w:rFonts w:eastAsia="Monotype Sorts;Symbol" w:cs="Monotype Sorts;Symbol" w:ascii="Monotype Sorts;Symbol" w:hAnsi="Monotype Sorts;Symbol"/>
        </w:rPr>
        <w:sym w:font="Monotype Sorts;Symbol" w:char="f06f"/>
      </w:r>
      <w:r>
        <w:rPr>
          <w:b/>
        </w:rPr>
        <w:t xml:space="preserve"> Enserco</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LJM 1 or 2</w:t>
        <w:tab/>
        <w:tab/>
        <w:tab/>
        <w:tab/>
        <w:tab/>
      </w:r>
      <w:r>
        <w:rPr>
          <w:rFonts w:eastAsia="Monotype Sorts;Symbol" w:cs="Monotype Sorts;Symbol" w:ascii="Monotype Sorts;Symbol" w:hAnsi="Monotype Sorts;Symbol"/>
        </w:rPr>
        <w:sym w:font="Monotype Sorts;Symbol"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Symbol" w:cs="Monotype Sorts;Symbol" w:ascii="Monotype Sorts;Symbol" w:hAnsi="Monotype Sorts;Symbol"/>
        </w:rPr>
        <w:sym w:font="Monotype Sorts;Symbol" w:char="f06f"/>
      </w:r>
      <w:r>
        <w:rPr>
          <w:b/>
        </w:rPr>
        <w:t xml:space="preserve"> </w:t>
      </w:r>
      <w:r>
        <w:rPr>
          <w:b/>
        </w:rPr>
        <w:t>Other:</w:t>
        <w:tab/>
        <w:tab/>
        <w:tab/>
        <w:tab/>
        <w:tab/>
        <w:tab/>
      </w:r>
      <w:r>
        <w:rPr>
          <w:rFonts w:eastAsia="Monotype Sorts;Symbol" w:cs="Monotype Sorts;Symbol" w:ascii="Monotype Sorts;Symbol" w:hAnsi="Monotype Sorts;Symbol"/>
        </w:rPr>
        <w:sym w:font="Monotype Sorts;Symbol"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7"/>
        </w:numPr>
        <w:rPr/>
      </w:pPr>
      <w:r>
        <w:rPr>
          <w:b/>
        </w:rPr>
        <w:t>Is this a JEDI 2 “Qualified Investment”?</w:t>
      </w:r>
      <w:r>
        <w:rPr/>
        <w:tab/>
        <w:tab/>
      </w:r>
      <w:r>
        <w:rPr>
          <w:rFonts w:eastAsia="Monotype Sorts;Symbol" w:cs="Monotype Sorts;Symbol" w:ascii="Monotype Sorts;Symbol" w:hAnsi="Monotype Sorts;Symbol"/>
        </w:rPr>
        <w:sym w:font="Monotype Sorts;Symbol" w:char="f06f"/>
      </w:r>
      <w:r>
        <w:rPr/>
        <w:t xml:space="preserve"> Yes</w:t>
        <w:tab/>
        <w:tab/>
        <w:tab/>
      </w:r>
      <w:r>
        <w:rPr>
          <w:rFonts w:eastAsia="Monotype Sorts;Symbol" w:cs="Monotype Sorts;Symbol" w:ascii="Monotype Sorts;Symbol" w:hAnsi="Monotype Sorts;Symbol"/>
        </w:rPr>
        <w:sym w:font="Monotype Sorts;Symbol" w:char="f06f"/>
      </w:r>
      <w:r>
        <w:rPr/>
        <w:t xml:space="preserve"> No</w:t>
      </w:r>
    </w:p>
    <w:p>
      <w:pPr>
        <w:pStyle w:val="Normal"/>
        <w:ind w:start="360" w:end="0"/>
        <w:rPr/>
      </w:pPr>
      <w:r>
        <w:rPr/>
      </w:r>
    </w:p>
    <w:tbl>
      <w:tblPr>
        <w:tblW w:w="10368" w:type="dxa"/>
        <w:jc w:val="start"/>
        <w:tblInd w:w="0" w:type="dxa"/>
        <w:tblLayout w:type="fixed"/>
        <w:tblCellMar>
          <w:top w:w="0" w:type="dxa"/>
          <w:start w:w="108" w:type="dxa"/>
          <w:bottom w:w="0" w:type="dxa"/>
          <w:end w:w="108" w:type="dxa"/>
        </w:tblCellMar>
      </w:tblPr>
      <w:tblGrid>
        <w:gridCol w:w="2592"/>
        <w:gridCol w:w="2592"/>
        <w:gridCol w:w="2592"/>
        <w:gridCol w:w="2592"/>
      </w:tblGrid>
      <w:tr>
        <w:trPr/>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Signature</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Name (Printed)</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Date</w:t>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Representative</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Lisa Bills</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Legal</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Jordan Mintz</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pStyle w:val="Normal"/>
        <w:tabs>
          <w:tab w:val="clear" w:pos="360"/>
          <w:tab w:val="left" w:pos="720" w:leader="none"/>
        </w:tabs>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/mnt/main-storage/datasets/enron-docs/doc/IDASH_Roseville_v3.doc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Internal Deal Approval Sheet – Enron Americas                                          Deal Name:  Roseville Energy Facility,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style>
  <w:style w:type="character" w:styleId="WW8Num6z0">
    <w:name w:val="WW8Num6z0"/>
    <w:qFormat/>
    <w:rPr>
      <w:rFonts w:ascii="Symbol" w:hAnsi="Symbol" w:cs="Symbol"/>
    </w:rPr>
  </w:style>
  <w:style w:type="character" w:styleId="WW8Num8z0">
    <w:name w:val="WW8Num8z0"/>
    <w:qFormat/>
    <w:rPr>
      <w:b w:val="false"/>
      <w:i w:val="false"/>
    </w:rPr>
  </w:style>
  <w:style w:type="character" w:styleId="WW8Num10z0">
    <w:name w:val="WW8Num10z0"/>
    <w:qFormat/>
    <w:rPr/>
  </w:style>
  <w:style w:type="character" w:styleId="WW8Num11z0">
    <w:name w:val="WW8Num11z0"/>
    <w:qFormat/>
    <w:rPr>
      <w:b w:val="false"/>
      <w:i w:val="false"/>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7z0">
    <w:name w:val="WW8Num37z0"/>
    <w:qFormat/>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2001-04-10T15:12:00Z</dcterms:created>
  <dc:creator>mruane</dc:creator>
  <dc:description>MR: 9-20-99 added tax signoff</dc:description>
  <dc:language>en-CA</dc:language>
  <cp:lastModifiedBy>mfilling</cp:lastModifiedBy>
  <cp:lastPrinted>2001-04-09T15:46:00Z</cp:lastPrinted>
  <dcterms:modified xsi:type="dcterms:W3CDTF">2001-04-10T15:23:00Z</dcterms:modified>
  <cp:revision>3</cp:revision>
  <dc:subject/>
  <dc:title>ENRON RISK ASSESSMENT AND CONTROL</dc:title>
</cp:coreProperties>
</file>