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AMENDMENT TO</w:t>
      </w:r>
    </w:p>
    <w:p>
      <w:pPr>
        <w:pStyle w:val="Normal"/>
        <w:spacing w:before="0" w:after="240"/>
        <w:jc w:val="center"/>
        <w:rPr>
          <w:b/>
          <w:sz w:val="24"/>
        </w:rPr>
      </w:pPr>
      <w:r>
        <w:rPr>
          <w:b/>
          <w:sz w:val="24"/>
        </w:rPr>
        <w:t>MASTER FIRM PURCHASE AND SALE AGREEMENT</w:t>
      </w:r>
    </w:p>
    <w:p>
      <w:pPr>
        <w:pStyle w:val="Normal"/>
        <w:spacing w:before="0" w:after="240"/>
        <w:jc w:val="center"/>
        <w:rPr>
          <w:b/>
          <w:sz w:val="24"/>
        </w:rPr>
      </w:pPr>
      <w:r>
        <w:rPr>
          <w:b/>
          <w:sz w:val="24"/>
        </w:rPr>
        <w:t xml:space="preserve"> </w:t>
      </w:r>
    </w:p>
    <w:p>
      <w:pPr>
        <w:pStyle w:val="Normal"/>
        <w:jc w:val="both"/>
        <w:rPr/>
      </w:pPr>
      <w:r>
        <w:rPr>
          <w:sz w:val="24"/>
        </w:rPr>
        <w:tab/>
        <w:t>This Amendment to Master Firm Purchase and Sale Agreement is made and entered into effective as of the 1st day of March, 1999, by and between Enron Capital &amp; Trade Resources Corp.</w:t>
      </w:r>
      <w:r>
        <w:rPr>
          <w:b/>
          <w:sz w:val="24"/>
        </w:rPr>
        <w:t>,</w:t>
      </w:r>
      <w:r>
        <w:rPr>
          <w:sz w:val="24"/>
        </w:rPr>
        <w:t xml:space="preserve"> a Delaware corporation ("Company") and IDACORP Energy Solutions L.P.,  a Delaware corporation ("Customer") successor in interest to Idaho Power Company.</w:t>
      </w:r>
    </w:p>
    <w:p>
      <w:pPr>
        <w:pStyle w:val="Normal"/>
        <w:spacing w:before="120" w:after="120"/>
        <w:jc w:val="center"/>
        <w:rPr>
          <w:b/>
          <w:sz w:val="24"/>
        </w:rPr>
      </w:pPr>
      <w:r>
        <w:rPr>
          <w:b/>
          <w:sz w:val="24"/>
        </w:rPr>
      </w:r>
    </w:p>
    <w:p>
      <w:pPr>
        <w:pStyle w:val="Normal"/>
        <w:spacing w:before="120" w:after="120"/>
        <w:jc w:val="center"/>
        <w:rPr>
          <w:b/>
          <w:sz w:val="24"/>
        </w:rPr>
      </w:pPr>
      <w:r>
        <w:rPr>
          <w:b/>
          <w:sz w:val="24"/>
        </w:rPr>
        <w:t>WITNESSETH:</w:t>
      </w:r>
    </w:p>
    <w:p>
      <w:pPr>
        <w:pStyle w:val="Normal"/>
        <w:spacing w:before="0" w:after="120"/>
        <w:jc w:val="both"/>
        <w:rPr>
          <w:sz w:val="24"/>
        </w:rPr>
      </w:pPr>
      <w:r>
        <w:rPr>
          <w:sz w:val="24"/>
        </w:rPr>
        <w:tab/>
        <w:t>WHEREAS, Customer and Company entered into that certain Master Firm Purchase and Sale Agreement dated effective May 1, 1997 ("Agreement"), covering transactions for the purchase or sale of Gas;</w:t>
      </w:r>
    </w:p>
    <w:p>
      <w:pPr>
        <w:pStyle w:val="Normal"/>
        <w:spacing w:before="0" w:after="120"/>
        <w:jc w:val="both"/>
        <w:rPr>
          <w:sz w:val="24"/>
        </w:rPr>
      </w:pPr>
      <w:r>
        <w:rPr>
          <w:sz w:val="24"/>
        </w:rPr>
        <w:tab/>
        <w:t xml:space="preserve">WHEREAS, the Parties now desire to amend the Agreement to alter the Triggering Event, Material Adverse Change language, and Exhibit "A".  </w:t>
      </w:r>
    </w:p>
    <w:p>
      <w:pPr>
        <w:pStyle w:val="Normal"/>
        <w:spacing w:before="0" w:after="120"/>
        <w:jc w:val="both"/>
        <w:rPr>
          <w:sz w:val="24"/>
        </w:rPr>
      </w:pPr>
      <w:r>
        <w:rPr>
          <w:sz w:val="24"/>
        </w:rPr>
        <w:tab/>
        <w:t>NOW, THEREFORE, in consideration of the premises and the agreements herein contained, the Parties agree as follows:</w:t>
      </w:r>
    </w:p>
    <w:p>
      <w:pPr>
        <w:pStyle w:val="Justified"/>
        <w:rPr/>
      </w:pPr>
      <w:r>
        <w:rPr/>
        <w:t>1.</w:t>
        <w:tab/>
        <w:t xml:space="preserve">All references in any writing related to the Agreement shall be to the Agreement as amended hereby.  </w:t>
      </w:r>
    </w:p>
    <w:p>
      <w:pPr>
        <w:pStyle w:val="Normal"/>
        <w:spacing w:before="0" w:after="120"/>
        <w:jc w:val="both"/>
        <w:rPr>
          <w:sz w:val="24"/>
        </w:rPr>
      </w:pPr>
      <w:r>
        <w:rPr>
          <w:sz w:val="24"/>
        </w:rPr>
        <w:t>2.</w:t>
        <w:tab/>
        <w:t>All capitalized terms used herein unless otherwise defined shall have the meanings given to them in the Agreement.</w:t>
      </w:r>
    </w:p>
    <w:p>
      <w:pPr>
        <w:pStyle w:val="Normal"/>
        <w:spacing w:before="0" w:after="120"/>
        <w:jc w:val="both"/>
        <w:rPr/>
      </w:pPr>
      <w:r>
        <w:rPr>
          <w:sz w:val="24"/>
        </w:rPr>
        <w:t xml:space="preserve">3. The following provision replaces and restates in its entirety </w:t>
      </w:r>
      <w:r>
        <w:rPr>
          <w:b/>
          <w:sz w:val="24"/>
          <w:u w:val="single"/>
        </w:rPr>
        <w:t>Section 4.2</w:t>
      </w:r>
      <w:r>
        <w:rPr>
          <w:rFonts w:cs="Arial Narrow" w:ascii="Arial Narrow" w:hAnsi="Arial Narrow"/>
          <w:sz w:val="24"/>
          <w:u w:val="single"/>
        </w:rPr>
        <w:t xml:space="preserve"> </w:t>
      </w:r>
      <w:r>
        <w:rPr>
          <w:b/>
          <w:sz w:val="24"/>
          <w:u w:val="single"/>
        </w:rPr>
        <w:t>Triggering Event</w:t>
      </w:r>
      <w:r>
        <w:rPr>
          <w:sz w:val="24"/>
        </w:rPr>
        <w:t xml:space="preserve"> shall mean, with respect to a Party (the "</w:t>
      </w:r>
      <w:r>
        <w:rPr>
          <w:sz w:val="24"/>
          <w:u w:val="single"/>
        </w:rPr>
        <w:t>Affected Party</w:t>
      </w:r>
      <w:r>
        <w:rPr>
          <w:sz w:val="24"/>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sz w:val="24"/>
          <w:u w:val="single"/>
        </w:rPr>
        <w:t>Section 4.2</w:t>
      </w:r>
      <w:r>
        <w:rPr>
          <w:sz w:val="24"/>
        </w:rPr>
        <w:t xml:space="preserve"> as a separate Triggering Event), and such failure is not excused by </w:t>
      </w:r>
      <w:r>
        <w:rPr>
          <w:sz w:val="24"/>
          <w:u w:val="single"/>
        </w:rPr>
        <w:t>Force Majeure</w:t>
      </w:r>
      <w:r>
        <w:rPr>
          <w:sz w:val="24"/>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sz w:val="24"/>
          <w:u w:val="single"/>
        </w:rPr>
        <w:t>sum</w:t>
      </w:r>
      <w:r>
        <w:rPr>
          <w:sz w:val="24"/>
        </w:rPr>
        <w:t xml:space="preserve"> of (in each case rounding upwards for </w:t>
      </w:r>
      <w:r>
        <w:rPr>
          <w:sz w:val="24"/>
          <w:u w:val="single"/>
        </w:rPr>
        <w:t>any</w:t>
      </w:r>
      <w:r>
        <w:rPr>
          <w:sz w:val="24"/>
        </w:rPr>
        <w:t xml:space="preserve"> fractional amount to the next $250,000) (a) the Notifying Party's Termination Payment </w:t>
      </w:r>
      <w:r>
        <w:rPr>
          <w:sz w:val="24"/>
          <w:u w:val="single"/>
        </w:rPr>
        <w:t>plus</w:t>
      </w:r>
      <w:r>
        <w:rPr>
          <w:sz w:val="24"/>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$50,000,000, or the Company's Guarantor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or (x) with respect to Customer, at any time, Customer's ultimate parent IDACORP, Inc. shall have defaulted on its indebted</w:t>
        <w:softHyphen/>
        <w:t>ness to third parties, resulting in an acceleration of obligations of  Customer in excess of $25,000,000.</w:t>
      </w:r>
    </w:p>
    <w:p>
      <w:pPr>
        <w:pStyle w:val="Normal"/>
        <w:spacing w:before="0" w:after="120"/>
        <w:jc w:val="both"/>
        <w:rPr/>
      </w:pPr>
      <w:r>
        <w:rPr>
          <w:sz w:val="24"/>
        </w:rPr>
        <w:t>4.</w:t>
        <w:tab/>
        <w:t xml:space="preserve">The definition of "Material Adverse Change" set forth in the </w:t>
      </w:r>
      <w:r>
        <w:rPr>
          <w:sz w:val="24"/>
          <w:u w:val="single"/>
        </w:rPr>
        <w:t xml:space="preserve">Appendix "1" Enfolio General Provisions </w:t>
      </w:r>
      <w:r>
        <w:rPr>
          <w:sz w:val="24"/>
        </w:rPr>
        <w:t>of the Agreement is hereby amended in its entirety as set for  below:</w:t>
      </w:r>
    </w:p>
    <w:p>
      <w:pPr>
        <w:pStyle w:val="Normal"/>
        <w:spacing w:before="0" w:after="120"/>
        <w:jc w:val="both"/>
        <w:rPr>
          <w:sz w:val="24"/>
        </w:rPr>
      </w:pPr>
      <w:r>
        <w:rPr>
          <w:sz w:val="24"/>
        </w:rPr>
      </w:r>
    </w:p>
    <w:p>
      <w:pPr>
        <w:pStyle w:val="Normal"/>
        <w:spacing w:before="0" w:after="120"/>
        <w:jc w:val="both"/>
        <w:rPr>
          <w:sz w:val="24"/>
        </w:rPr>
      </w:pPr>
      <w:r>
        <w:rPr>
          <w:sz w:val="24"/>
        </w:rPr>
        <w:tab/>
        <w:t>"Material Adverse Change" means with respect to Customer, IDACORP, Inc. shall have, long-term debt  unsupported by third party credit enhancement rated by S&amp;P below "BBB-" or with respect to Company, Enron Corp. shall have long-term debt unsupported by third party credit enhancement that is rated by S&amp;P below "BBB-".</w:t>
      </w:r>
    </w:p>
    <w:p>
      <w:pPr>
        <w:pStyle w:val="Heading2"/>
        <w:rPr>
          <w:sz w:val="24"/>
        </w:rPr>
      </w:pPr>
      <w:r>
        <w:rPr>
          <w:sz w:val="24"/>
        </w:rPr>
      </w:r>
    </w:p>
    <w:p>
      <w:pPr>
        <w:pStyle w:val="Justified"/>
        <w:rPr/>
      </w:pPr>
      <w:r>
        <w:rPr/>
        <w:t>5.</w:t>
        <w:tab/>
        <w:t>The Parties hereby acknowledge and agree that, except as specifically amended hereby, the Agreement shall remain in full force and effect in accordance with its terms.</w:t>
      </w:r>
    </w:p>
    <w:p>
      <w:pPr>
        <w:pStyle w:val="Justified"/>
        <w:rPr/>
      </w:pPr>
      <w:r>
        <w:rPr/>
        <w:t>6.</w:t>
        <w:tab/>
        <w:t>This Amendment may be executed in counterparts, each of which taken together shall constitute one and the same instrument.</w:t>
      </w:r>
    </w:p>
    <w:p>
      <w:pPr>
        <w:pStyle w:val="Justified"/>
        <w:rPr>
          <w:sz w:val="18"/>
        </w:rPr>
      </w:pPr>
      <w:r>
        <w:rPr>
          <w:sz w:val="18"/>
        </w:rPr>
      </w:r>
    </w:p>
    <w:p>
      <w:pPr>
        <w:pStyle w:val="Justified"/>
        <w:rPr/>
      </w:pPr>
      <w:r>
        <w:rPr/>
        <w:tab/>
        <w:t>IN WITNESS WHEREOF, Enron Capital &amp; Trade Resources Corp. and IDACORP Energy Solutions L.P.  their respective authorized representatives, have executed this  Amendment effective as of the date first written above.</w:t>
      </w:r>
    </w:p>
    <w:p>
      <w:pPr>
        <w:pStyle w:val="Heading2"/>
        <w:rPr/>
      </w:pPr>
      <w:r>
        <w:rPr/>
      </w:r>
    </w:p>
    <w:p>
      <w:pPr>
        <w:pStyle w:val="Justified"/>
        <w:rPr/>
      </w:pPr>
      <w:r>
        <w:rPr/>
      </w:r>
    </w:p>
    <w:p>
      <w:pPr>
        <w:pStyle w:val="Justified"/>
        <w:rPr/>
      </w:pPr>
      <w:r>
        <w:rPr/>
        <w:tab/>
        <w:tab/>
        <w:tab/>
        <w:t>ENRON CAPITAL &amp; TRADE RESOURCES CORP.</w:t>
      </w:r>
    </w:p>
    <w:p>
      <w:pPr>
        <w:pStyle w:val="Heading2"/>
        <w:rPr/>
      </w:pPr>
      <w:r>
        <w:rPr/>
        <w:tab/>
        <w:tab/>
        <w:t>Signature:</w:t>
      </w:r>
      <w:r>
        <w:rPr>
          <w:u w:val="single"/>
        </w:rPr>
        <w:tab/>
        <w:tab/>
        <w:tab/>
        <w:tab/>
        <w:tab/>
        <w:tab/>
      </w:r>
    </w:p>
    <w:p>
      <w:pPr>
        <w:pStyle w:val="Heading2"/>
        <w:rPr/>
      </w:pPr>
      <w:r>
        <w:rPr/>
        <w:tab/>
        <w:tab/>
        <w:t>By:</w:t>
      </w:r>
      <w:r>
        <w:rPr>
          <w:u w:val="single"/>
        </w:rPr>
        <w:tab/>
        <w:tab/>
        <w:tab/>
        <w:tab/>
        <w:tab/>
        <w:tab/>
        <w:tab/>
      </w:r>
    </w:p>
    <w:p>
      <w:pPr>
        <w:pStyle w:val="Justified"/>
        <w:rPr/>
      </w:pPr>
      <w:r>
        <w:rPr/>
        <w:tab/>
        <w:tab/>
        <w:tab/>
        <w:t>Title:</w:t>
      </w:r>
      <w:r>
        <w:rPr>
          <w:u w:val="single"/>
        </w:rPr>
        <w:tab/>
        <w:tab/>
        <w:tab/>
        <w:tab/>
        <w:tab/>
        <w:tab/>
        <w:tab/>
      </w:r>
    </w:p>
    <w:p>
      <w:pPr>
        <w:pStyle w:val="Heading2"/>
        <w:rPr>
          <w:u w:val="single"/>
        </w:rPr>
      </w:pPr>
      <w:r>
        <w:rPr>
          <w:u w:val="single"/>
        </w:rPr>
      </w:r>
    </w:p>
    <w:p>
      <w:pPr>
        <w:pStyle w:val="Justified"/>
        <w:rPr/>
      </w:pPr>
      <w:r>
        <w:rPr/>
      </w:r>
    </w:p>
    <w:p>
      <w:pPr>
        <w:pStyle w:val="Heading2"/>
        <w:rPr/>
      </w:pPr>
      <w:r>
        <w:rPr/>
        <w:tab/>
        <w:t xml:space="preserve">            IDACORP ENERGY SOLUTIONS  L.P.</w:t>
      </w:r>
    </w:p>
    <w:p>
      <w:pPr>
        <w:pStyle w:val="Justified"/>
        <w:rPr/>
      </w:pPr>
      <w:r>
        <w:rPr/>
        <w:tab/>
        <w:tab/>
        <w:tab/>
        <w:t>By Its General Partner IDACORP, INC.</w:t>
      </w:r>
    </w:p>
    <w:p>
      <w:pPr>
        <w:pStyle w:val="Justified"/>
        <w:rPr/>
      </w:pPr>
      <w:r>
        <w:rPr/>
        <w:tab/>
        <w:tab/>
        <w:tab/>
      </w:r>
    </w:p>
    <w:p>
      <w:pPr>
        <w:pStyle w:val="Justified"/>
        <w:ind w:firstLine="720" w:end="0"/>
        <w:rPr/>
      </w:pPr>
      <w:r>
        <w:rPr/>
        <w:tab/>
        <w:tab/>
        <w:t>Signature:</w:t>
      </w:r>
      <w:r>
        <w:rPr>
          <w:u w:val="single"/>
        </w:rPr>
        <w:tab/>
        <w:tab/>
        <w:tab/>
        <w:tab/>
        <w:tab/>
        <w:tab/>
      </w:r>
    </w:p>
    <w:p>
      <w:pPr>
        <w:pStyle w:val="Heading2"/>
        <w:rPr/>
      </w:pPr>
      <w:r>
        <w:rPr/>
        <w:tab/>
        <w:tab/>
        <w:t>By:</w:t>
      </w:r>
      <w:r>
        <w:rPr>
          <w:u w:val="single"/>
        </w:rPr>
        <w:tab/>
        <w:tab/>
        <w:tab/>
        <w:tab/>
        <w:tab/>
        <w:tab/>
        <w:tab/>
      </w:r>
    </w:p>
    <w:p>
      <w:pPr>
        <w:pStyle w:val="Heading2"/>
        <w:rPr/>
      </w:pPr>
      <w:r>
        <w:rPr/>
        <w:tab/>
        <w:tab/>
        <w:t>Title:</w:t>
      </w:r>
      <w:r>
        <w:rPr>
          <w:u w:val="single"/>
        </w:rPr>
        <w:tab/>
        <w:tab/>
        <w:tab/>
        <w:tab/>
        <w:tab/>
        <w:tab/>
        <w:tab/>
      </w:r>
    </w:p>
    <w:p>
      <w:pPr>
        <w:pStyle w:val="Normal"/>
        <w:rPr>
          <w:sz w:val="24"/>
        </w:rPr>
      </w:pPr>
      <w:r>
        <w:rPr>
          <w:sz w:val="24"/>
        </w:rPr>
      </w:r>
    </w:p>
    <w:p>
      <w:pPr>
        <w:pStyle w:val="Normal"/>
        <w:rPr>
          <w:sz w:val="24"/>
        </w:rPr>
      </w:pPr>
      <w:r>
        <w:rPr>
          <w:sz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Enron Capital &amp; Trade Resources Corp.</w:t>
      </w:r>
    </w:p>
    <w:p>
      <w:pPr>
        <w:pStyle w:val="Normal"/>
        <w:jc w:val="both"/>
        <w:rPr>
          <w:rFonts w:ascii="Arial Narrow" w:hAnsi="Arial Narrow" w:cs="Arial Narrow"/>
          <w:sz w:val="18"/>
        </w:rPr>
      </w:pPr>
      <w:r>
        <w:rPr>
          <w:rFonts w:cs="Arial Narrow" w:ascii="Arial Narrow" w:hAnsi="Arial Narrow"/>
          <w:sz w:val="18"/>
        </w:rPr>
        <w:t>ABA Routing 111000012 NationsBank TX</w:t>
      </w:r>
    </w:p>
    <w:p>
      <w:pPr>
        <w:pStyle w:val="Normal"/>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ECT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IDACORP Energy Solutions L.P.</w:t>
      </w:r>
    </w:p>
    <w:p>
      <w:pPr>
        <w:pStyle w:val="Normal"/>
        <w:jc w:val="both"/>
        <w:rPr>
          <w:rFonts w:ascii="Arial Narrow" w:hAnsi="Arial Narrow" w:cs="Arial Narrow"/>
          <w:sz w:val="18"/>
        </w:rPr>
      </w:pPr>
      <w:r>
        <w:rPr>
          <w:rFonts w:cs="Arial Narrow" w:ascii="Arial Narrow" w:hAnsi="Arial Narrow"/>
          <w:sz w:val="18"/>
        </w:rPr>
        <w:t>P.O. Box 70</w:t>
      </w:r>
    </w:p>
    <w:p>
      <w:pPr>
        <w:pStyle w:val="Normal"/>
        <w:jc w:val="both"/>
        <w:rPr>
          <w:rFonts w:ascii="Arial Narrow" w:hAnsi="Arial Narrow" w:cs="Arial Narrow"/>
          <w:sz w:val="18"/>
        </w:rPr>
      </w:pPr>
      <w:r>
        <w:rPr>
          <w:rFonts w:cs="Arial Narrow" w:ascii="Arial Narrow" w:hAnsi="Arial Narrow"/>
          <w:sz w:val="18"/>
        </w:rPr>
        <w:t>Boise, Idaho 83707</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tab/>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w:t>
        <w:tab/>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Justified"/>
    <w:qFormat/>
    <w:pPr>
      <w:numPr>
        <w:ilvl w:val="1"/>
        <w:numId w:val="1"/>
      </w:numPr>
      <w:spacing w:lineRule="atLeast" w:line="240" w:before="0" w:after="120"/>
      <w:ind w:firstLine="720" w:start="0" w:end="0"/>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lineRule="atLeast" w:line="240" w:before="0" w:after="12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1999-03-08T20:22:00Z</dcterms:created>
  <dc:creator>dperlin</dc:creator>
  <dc:description/>
  <dc:language>en-CA</dc:language>
  <cp:lastModifiedBy>dperlin</cp:lastModifiedBy>
  <cp:lastPrinted>1999-04-13T15:26:00Z</cp:lastPrinted>
  <dcterms:modified xsi:type="dcterms:W3CDTF">1999-04-13T18:02:00Z</dcterms:modified>
  <cp:revision>8</cp:revision>
  <dc:subject/>
  <dc:title>SECOND AMENDMENT TO</dc:title>
</cp:coreProperties>
</file>