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INTERCONNECTION AGREEMENTS: FORM AND SUBSTANCE</w:t>
      </w:r>
    </w:p>
    <w:p>
      <w:pPr>
        <w:pStyle w:val="Heading"/>
        <w:rPr/>
      </w:pPr>
      <w:r>
        <w:rPr/>
        <w:t>February 23, 2001</w:t>
      </w:r>
    </w:p>
    <w:p>
      <w:pPr>
        <w:pStyle w:val="Normal"/>
        <w:jc w:val="center"/>
        <w:rPr>
          <w:rFonts w:ascii="Arial Rounded MT Bold" w:hAnsi="Arial Rounded MT Bold" w:cs="Arial"/>
          <w:sz w:val="28"/>
        </w:rPr>
      </w:pPr>
      <w:r>
        <w:rPr>
          <w:rFonts w:cs="Arial" w:ascii="Arial Rounded MT Bold" w:hAnsi="Arial Rounded MT Bold"/>
          <w:sz w:val="28"/>
        </w:rPr>
      </w:r>
    </w:p>
    <w:p>
      <w:pPr>
        <w:pStyle w:val="Normal"/>
        <w:numPr>
          <w:ilvl w:val="0"/>
          <w:numId w:val="2"/>
        </w:numPr>
        <w:rPr>
          <w:rFonts w:ascii="Arial Rounded MT Bold" w:hAnsi="Arial Rounded MT Bold" w:cs="Arial"/>
        </w:rPr>
      </w:pPr>
      <w:r>
        <w:rPr>
          <w:rFonts w:cs="Arial" w:ascii="Arial Rounded MT Bold" w:hAnsi="Arial Rounded MT Bold"/>
        </w:rPr>
        <w:t>Types of Interconnection Agreements</w:t>
      </w:r>
    </w:p>
    <w:p>
      <w:pPr>
        <w:pStyle w:val="Normal"/>
        <w:ind w:start="360" w:end="0"/>
        <w:rPr>
          <w:rFonts w:ascii="Arial Rounded MT Bold" w:hAnsi="Arial Rounded MT Bold" w:cs="Arial"/>
        </w:rPr>
      </w:pPr>
      <w:r>
        <w:rPr>
          <w:rFonts w:cs="Arial" w:ascii="Arial Rounded MT Bold" w:hAnsi="Arial Rounded MT Bold"/>
        </w:rPr>
      </w:r>
    </w:p>
    <w:p>
      <w:pPr>
        <w:pStyle w:val="Normal"/>
        <w:numPr>
          <w:ilvl w:val="1"/>
          <w:numId w:val="2"/>
        </w:numPr>
        <w:rPr>
          <w:rFonts w:ascii="Arial Rounded MT Bold" w:hAnsi="Arial Rounded MT Bold" w:cs="Arial"/>
        </w:rPr>
      </w:pPr>
      <w:r>
        <w:rPr>
          <w:rFonts w:cs="Arial" w:ascii="Arial Rounded MT Bold" w:hAnsi="Arial Rounded MT Bold"/>
        </w:rPr>
        <w:t xml:space="preserve">Off-the-Shelf / Statement of Generally Available Terms (“SGAT”) &amp; Tariff -&gt; waive right to amend and subject to revision by ILEC </w:t>
      </w:r>
    </w:p>
    <w:p>
      <w:pPr>
        <w:pStyle w:val="Normal"/>
        <w:ind w:start="1080" w:end="0"/>
        <w:rPr>
          <w:rFonts w:ascii="Arial Rounded MT Bold" w:hAnsi="Arial Rounded MT Bold" w:cs="Arial"/>
        </w:rPr>
      </w:pPr>
      <w:r>
        <w:rPr>
          <w:rFonts w:cs="Arial" w:ascii="Arial Rounded MT Bold" w:hAnsi="Arial Rounded MT Bold"/>
        </w:rPr>
      </w:r>
    </w:p>
    <w:p>
      <w:pPr>
        <w:pStyle w:val="Normal"/>
        <w:numPr>
          <w:ilvl w:val="1"/>
          <w:numId w:val="2"/>
        </w:numPr>
        <w:rPr>
          <w:rFonts w:ascii="Arial Rounded MT Bold" w:hAnsi="Arial Rounded MT Bold" w:cs="Arial"/>
        </w:rPr>
      </w:pPr>
      <w:r>
        <w:rPr>
          <w:rFonts w:cs="Arial" w:ascii="Arial Rounded MT Bold" w:hAnsi="Arial Rounded MT Bold"/>
        </w:rPr>
        <w:t>Pick-n-Choose / Opt-in -&gt; select entire agreement vs. specific provisions; subject to time, cost and technical feasbility exceptions; amendment issue regarding SGAT and tariff incorporation by reference</w:t>
      </w:r>
    </w:p>
    <w:p>
      <w:pPr>
        <w:pStyle w:val="Normal"/>
        <w:rPr>
          <w:rFonts w:ascii="Arial Rounded MT Bold" w:hAnsi="Arial Rounded MT Bold" w:cs="Arial"/>
        </w:rPr>
      </w:pPr>
      <w:r>
        <w:rPr>
          <w:rFonts w:cs="Arial" w:ascii="Arial Rounded MT Bold" w:hAnsi="Arial Rounded MT Bold"/>
        </w:rPr>
      </w:r>
    </w:p>
    <w:p>
      <w:pPr>
        <w:pStyle w:val="Normal"/>
        <w:numPr>
          <w:ilvl w:val="1"/>
          <w:numId w:val="2"/>
        </w:numPr>
        <w:rPr>
          <w:rFonts w:ascii="Arial Rounded MT Bold" w:hAnsi="Arial Rounded MT Bold" w:cs="Arial"/>
        </w:rPr>
      </w:pPr>
      <w:r>
        <w:rPr>
          <w:rFonts w:cs="Arial" w:ascii="Arial Rounded MT Bold" w:hAnsi="Arial Rounded MT Bold"/>
        </w:rPr>
        <w:t>Customized Deal</w:t>
      </w:r>
    </w:p>
    <w:p>
      <w:pPr>
        <w:pStyle w:val="Normal"/>
        <w:rPr>
          <w:rFonts w:ascii="Arial Rounded MT Bold" w:hAnsi="Arial Rounded MT Bold" w:cs="Arial"/>
        </w:rPr>
      </w:pPr>
      <w:r>
        <w:rPr>
          <w:rFonts w:cs="Arial" w:ascii="Arial Rounded MT Bold" w:hAnsi="Arial Rounded MT Bold"/>
        </w:rPr>
      </w:r>
    </w:p>
    <w:p>
      <w:pPr>
        <w:pStyle w:val="Normal"/>
        <w:numPr>
          <w:ilvl w:val="0"/>
          <w:numId w:val="2"/>
        </w:numPr>
        <w:rPr>
          <w:rFonts w:ascii="Arial Rounded MT Bold" w:hAnsi="Arial Rounded MT Bold" w:cs="Arial"/>
        </w:rPr>
      </w:pPr>
      <w:r>
        <w:rPr>
          <w:rFonts w:cs="Arial" w:ascii="Arial Rounded MT Bold" w:hAnsi="Arial Rounded MT Bold"/>
        </w:rPr>
        <w:t>Provisioning Service as a CLEC</w:t>
      </w:r>
    </w:p>
    <w:p>
      <w:pPr>
        <w:pStyle w:val="Normal"/>
        <w:ind w:start="360" w:end="0"/>
        <w:rPr>
          <w:rFonts w:ascii="Arial Rounded MT Bold" w:hAnsi="Arial Rounded MT Bold" w:cs="Arial"/>
        </w:rPr>
      </w:pPr>
      <w:r>
        <w:rPr>
          <w:rFonts w:cs="Arial" w:ascii="Arial Rounded MT Bold" w:hAnsi="Arial Rounded MT Bold"/>
        </w:rPr>
      </w:r>
    </w:p>
    <w:p>
      <w:pPr>
        <w:pStyle w:val="Normal"/>
        <w:numPr>
          <w:ilvl w:val="1"/>
          <w:numId w:val="2"/>
        </w:numPr>
        <w:rPr>
          <w:rFonts w:ascii="Arial Rounded MT Bold" w:hAnsi="Arial Rounded MT Bold" w:cs="Arial"/>
        </w:rPr>
      </w:pPr>
      <w:r>
        <w:rPr>
          <w:rFonts w:cs="Arial" w:ascii="Arial Rounded MT Bold" w:hAnsi="Arial Rounded MT Bold"/>
        </w:rPr>
        <w:t>Resale -&gt; Avoidable cost methodology (15-23% discounts); pending Supreme Court decision</w:t>
      </w:r>
    </w:p>
    <w:p>
      <w:pPr>
        <w:pStyle w:val="Normal"/>
        <w:ind w:start="1080" w:end="0"/>
        <w:rPr>
          <w:rFonts w:ascii="Arial Rounded MT Bold" w:hAnsi="Arial Rounded MT Bold" w:cs="Arial"/>
        </w:rPr>
      </w:pPr>
      <w:r>
        <w:rPr>
          <w:rFonts w:cs="Arial" w:ascii="Arial Rounded MT Bold" w:hAnsi="Arial Rounded MT Bold"/>
        </w:rPr>
      </w:r>
    </w:p>
    <w:p>
      <w:pPr>
        <w:pStyle w:val="Normal"/>
        <w:numPr>
          <w:ilvl w:val="1"/>
          <w:numId w:val="2"/>
        </w:numPr>
        <w:rPr>
          <w:rFonts w:ascii="Arial Rounded MT Bold" w:hAnsi="Arial Rounded MT Bold" w:cs="Arial"/>
        </w:rPr>
      </w:pPr>
      <w:r>
        <w:rPr>
          <w:rFonts w:cs="Arial" w:ascii="Arial Rounded MT Bold" w:hAnsi="Arial Rounded MT Bold"/>
        </w:rPr>
        <w:t>Unbundled Network Elements (“UNEs”) -&gt; becoming a facilities-based provider by making the ILEC’s network yours pursuant to Section 251 of the Telecom Act of 1996.</w:t>
      </w:r>
    </w:p>
    <w:p>
      <w:pPr>
        <w:pStyle w:val="Normal"/>
        <w:rPr>
          <w:rFonts w:ascii="Arial Rounded MT Bold" w:hAnsi="Arial Rounded MT Bold" w:cs="Arial"/>
        </w:rPr>
      </w:pPr>
      <w:r>
        <w:rPr>
          <w:rFonts w:cs="Arial" w:ascii="Arial Rounded MT Bold" w:hAnsi="Arial Rounded MT Bold"/>
        </w:rPr>
      </w:r>
    </w:p>
    <w:p>
      <w:pPr>
        <w:pStyle w:val="Normal"/>
        <w:numPr>
          <w:ilvl w:val="3"/>
          <w:numId w:val="2"/>
        </w:numPr>
        <w:rPr>
          <w:rFonts w:ascii="Arial Rounded MT Bold" w:hAnsi="Arial Rounded MT Bold" w:cs="Arial"/>
        </w:rPr>
      </w:pPr>
      <w:r>
        <w:rPr>
          <w:rFonts w:cs="Arial" w:ascii="Arial Rounded MT Bold" w:hAnsi="Arial Rounded MT Bold"/>
        </w:rPr>
        <w:t xml:space="preserve">Network Element = A facility or equipment used in the provision of a telecommunications service; also includes features, functions and capabilities that are provided by means of such facilities or equipment, including subscriber numbers, databases, signaling systems, and information sufficient for billing and collection or used in transmission, routing, or other provisions of a telecommunications service. </w:t>
      </w:r>
    </w:p>
    <w:p>
      <w:pPr>
        <w:pStyle w:val="Normal"/>
        <w:ind w:start="2520" w:end="0"/>
        <w:rPr>
          <w:rFonts w:ascii="Arial Rounded MT Bold" w:hAnsi="Arial Rounded MT Bold" w:cs="Arial"/>
        </w:rPr>
      </w:pPr>
      <w:r>
        <w:rPr>
          <w:rFonts w:cs="Arial" w:ascii="Arial Rounded MT Bold" w:hAnsi="Arial Rounded MT Bold"/>
        </w:rPr>
      </w:r>
    </w:p>
    <w:p>
      <w:pPr>
        <w:pStyle w:val="Normal"/>
        <w:numPr>
          <w:ilvl w:val="3"/>
          <w:numId w:val="2"/>
        </w:numPr>
        <w:rPr>
          <w:rFonts w:ascii="Arial Rounded MT Bold" w:hAnsi="Arial Rounded MT Bold" w:cs="Arial"/>
        </w:rPr>
      </w:pPr>
      <w:r>
        <w:rPr>
          <w:rFonts w:cs="Arial" w:ascii="Arial Rounded MT Bold" w:hAnsi="Arial Rounded MT Bold"/>
        </w:rPr>
        <w:t>Access terms and conditions [“Necessary and impair” standard]; Appropriate combinations (pending Supreme Court decision); Enhanced Extended Links (“EELs”) (pending FCC rulemaking – definition re: “significant local usage” and pricing issue because cannot use EEL to replace special access which is subject to avoidable cost pricing); Total Element Long-Run Incremental Cost (“TELRIC”) pricing (recently rejected by 8</w:t>
      </w:r>
      <w:r>
        <w:rPr>
          <w:rFonts w:cs="Arial" w:ascii="Arial Rounded MT Bold" w:hAnsi="Arial Rounded MT Bold"/>
          <w:vertAlign w:val="superscript"/>
        </w:rPr>
        <w:t>th</w:t>
      </w:r>
      <w:r>
        <w:rPr>
          <w:rFonts w:cs="Arial" w:ascii="Arial Rounded MT Bold" w:hAnsi="Arial Rounded MT Bold"/>
        </w:rPr>
        <w:t xml:space="preserve"> Circuit court and pending Supreme Court decision).</w:t>
      </w:r>
    </w:p>
    <w:p>
      <w:pPr>
        <w:pStyle w:val="Normal"/>
        <w:rPr>
          <w:rFonts w:ascii="Arial Rounded MT Bold" w:hAnsi="Arial Rounded MT Bold" w:cs="Arial"/>
        </w:rPr>
      </w:pPr>
      <w:r>
        <w:rPr>
          <w:rFonts w:cs="Arial" w:ascii="Arial Rounded MT Bold" w:hAnsi="Arial Rounded MT Bold"/>
        </w:rPr>
      </w:r>
    </w:p>
    <w:p>
      <w:pPr>
        <w:pStyle w:val="Normal"/>
        <w:numPr>
          <w:ilvl w:val="1"/>
          <w:numId w:val="2"/>
        </w:numPr>
        <w:rPr>
          <w:rFonts w:ascii="Arial Rounded MT Bold" w:hAnsi="Arial Rounded MT Bold" w:cs="Arial"/>
        </w:rPr>
      </w:pPr>
      <w:r>
        <w:rPr>
          <w:rFonts w:cs="Arial" w:ascii="Arial Rounded MT Bold" w:hAnsi="Arial Rounded MT Bold"/>
        </w:rPr>
        <w:t>UNE-P = the purchase of an ILEC unbundled loop, switch and shared transport, in order to provide local exchange service to a customer without a CLEC using any of its network; priced at TELRIC (results in discounts from retail rates of up to 50%); allows CLECs to charge access to IXCs since facilities in theory belong to CLEC; does not require CLEC to collocate at every ILEC central office to reach customers.</w:t>
      </w:r>
    </w:p>
    <w:p>
      <w:pPr>
        <w:pStyle w:val="Normal"/>
        <w:numPr>
          <w:ilvl w:val="3"/>
          <w:numId w:val="2"/>
        </w:numPr>
        <w:rPr>
          <w:rFonts w:ascii="Arial Rounded MT Bold" w:hAnsi="Arial Rounded MT Bold" w:cs="Arial"/>
        </w:rPr>
      </w:pPr>
      <w:r>
        <w:rPr>
          <w:rFonts w:cs="Arial" w:ascii="Arial Rounded MT Bold" w:hAnsi="Arial Rounded MT Bold"/>
        </w:rPr>
        <w:t>NOTE: ILECs have the right to limit the UNE-P to existing combinations.</w:t>
      </w:r>
    </w:p>
    <w:p>
      <w:pPr>
        <w:pStyle w:val="Normal"/>
        <w:rPr>
          <w:rFonts w:ascii="Arial Rounded MT Bold" w:hAnsi="Arial Rounded MT Bold" w:cs="Arial"/>
        </w:rPr>
      </w:pPr>
      <w:r>
        <w:rPr>
          <w:rFonts w:cs="Arial" w:ascii="Arial Rounded MT Bold" w:hAnsi="Arial Rounded MT Bold"/>
        </w:rPr>
      </w:r>
    </w:p>
    <w:p>
      <w:pPr>
        <w:pStyle w:val="Normal"/>
        <w:numPr>
          <w:ilvl w:val="0"/>
          <w:numId w:val="2"/>
        </w:numPr>
        <w:rPr>
          <w:rFonts w:ascii="Arial Rounded MT Bold" w:hAnsi="Arial Rounded MT Bold" w:cs="Arial"/>
        </w:rPr>
      </w:pPr>
      <w:r>
        <w:rPr>
          <w:rFonts w:cs="Arial" w:ascii="Arial Rounded MT Bold" w:hAnsi="Arial Rounded MT Bold"/>
        </w:rPr>
        <w:t>Specific UNEs</w:t>
      </w:r>
    </w:p>
    <w:p>
      <w:pPr>
        <w:pStyle w:val="Normal"/>
        <w:ind w:start="1080" w:end="0"/>
        <w:rPr>
          <w:rFonts w:ascii="Arial Rounded MT Bold" w:hAnsi="Arial Rounded MT Bold" w:cs="Arial"/>
        </w:rPr>
      </w:pPr>
      <w:r>
        <w:rPr>
          <w:rFonts w:cs="Arial" w:ascii="Arial Rounded MT Bold" w:hAnsi="Arial Rounded MT Bold"/>
        </w:rPr>
      </w:r>
    </w:p>
    <w:p>
      <w:pPr>
        <w:pStyle w:val="Normal"/>
        <w:numPr>
          <w:ilvl w:val="1"/>
          <w:numId w:val="2"/>
        </w:numPr>
        <w:rPr>
          <w:rFonts w:ascii="Arial Rounded MT Bold" w:hAnsi="Arial Rounded MT Bold" w:cs="Arial"/>
        </w:rPr>
      </w:pPr>
      <w:r>
        <w:rPr>
          <w:rFonts w:cs="Arial" w:ascii="Arial Rounded MT Bold" w:hAnsi="Arial Rounded MT Bold"/>
        </w:rPr>
        <w:t>Local Loop = A transmission facility between a distribution frame in an ILEC central office and the loop demarcation point at an end-user premises, including inside wire owned by the ILEC; LL network includes all features and capabilities fo the transmission facilities, including dark fiber, attached electronics, and line conditioning; LL includes, but is not limited to, DS1, DS3, fiber and other high capacity loops.</w:t>
      </w:r>
    </w:p>
    <w:p>
      <w:pPr>
        <w:pStyle w:val="Normal"/>
        <w:ind w:start="1080" w:end="0"/>
        <w:rPr>
          <w:rFonts w:ascii="Arial Rounded MT Bold" w:hAnsi="Arial Rounded MT Bold" w:cs="Arial"/>
        </w:rPr>
      </w:pPr>
      <w:r>
        <w:rPr>
          <w:rFonts w:cs="Arial" w:ascii="Arial Rounded MT Bold" w:hAnsi="Arial Rounded MT Bold"/>
        </w:rPr>
      </w:r>
    </w:p>
    <w:p>
      <w:pPr>
        <w:pStyle w:val="Normal"/>
        <w:numPr>
          <w:ilvl w:val="1"/>
          <w:numId w:val="2"/>
        </w:numPr>
        <w:rPr>
          <w:rFonts w:ascii="Arial Rounded MT Bold" w:hAnsi="Arial Rounded MT Bold" w:cs="Arial"/>
        </w:rPr>
      </w:pPr>
      <w:r>
        <w:rPr>
          <w:rFonts w:cs="Arial" w:ascii="Arial Rounded MT Bold" w:hAnsi="Arial Rounded MT Bold"/>
        </w:rPr>
        <w:t>Network Interface Device (“NID”) = Any potential means of interconnection of end-user customer premises wiring to the ILEC’s distribution plant, such as a cross-connect device.</w:t>
      </w:r>
    </w:p>
    <w:p>
      <w:pPr>
        <w:pStyle w:val="Normal"/>
        <w:rPr>
          <w:rFonts w:ascii="Arial Rounded MT Bold" w:hAnsi="Arial Rounded MT Bold" w:cs="Arial"/>
        </w:rPr>
      </w:pPr>
      <w:r>
        <w:rPr>
          <w:rFonts w:cs="Arial" w:ascii="Arial Rounded MT Bold" w:hAnsi="Arial Rounded MT Bold"/>
        </w:rPr>
      </w:r>
    </w:p>
    <w:p>
      <w:pPr>
        <w:pStyle w:val="Normal"/>
        <w:numPr>
          <w:ilvl w:val="1"/>
          <w:numId w:val="2"/>
        </w:numPr>
        <w:rPr>
          <w:rFonts w:ascii="Arial Rounded MT Bold" w:hAnsi="Arial Rounded MT Bold" w:cs="Arial"/>
        </w:rPr>
      </w:pPr>
      <w:r>
        <w:rPr>
          <w:rFonts w:cs="Arial" w:ascii="Arial Rounded MT Bold" w:hAnsi="Arial Rounded MT Bold"/>
        </w:rPr>
        <w:t xml:space="preserve">Switching Capability (tandem and packet) = the basic switching function of connecting lines to lines, lines to trunks, and trunks to trunks, as well as the same basic capabilities made available to the ILEC’s customers, such as telephone number, white page listing, and dial tone; and other features that the switch is capable of providing, including but not limited to, customer calling, custom local area signaling service features, and centrex, as well as any technically feasible customized routing functions provided by the switch. [NOTE: Circuit switching exemption exists for customers with 4 or more lines in Access Zone 1 of the top 50 MSAs if ILEC makes the EEL available.]. </w:t>
      </w:r>
    </w:p>
    <w:p>
      <w:pPr>
        <w:pStyle w:val="Normal"/>
        <w:rPr>
          <w:rFonts w:ascii="Arial Rounded MT Bold" w:hAnsi="Arial Rounded MT Bold" w:cs="Arial"/>
        </w:rPr>
      </w:pPr>
      <w:r>
        <w:rPr>
          <w:rFonts w:cs="Arial" w:ascii="Arial Rounded MT Bold" w:hAnsi="Arial Rounded MT Bold"/>
        </w:rPr>
      </w:r>
    </w:p>
    <w:p>
      <w:pPr>
        <w:pStyle w:val="Normal"/>
        <w:numPr>
          <w:ilvl w:val="1"/>
          <w:numId w:val="2"/>
        </w:numPr>
        <w:rPr>
          <w:rFonts w:ascii="Arial Rounded MT Bold" w:hAnsi="Arial Rounded MT Bold" w:cs="Arial"/>
        </w:rPr>
      </w:pPr>
      <w:r>
        <w:rPr>
          <w:rFonts w:cs="Arial" w:ascii="Arial Rounded MT Bold" w:hAnsi="Arial Rounded MT Bold"/>
        </w:rPr>
        <w:t>Interoffice Transmission Facilities = Dedicated Transport, Dark Fiber Transport, and Shared Transport</w:t>
      </w:r>
    </w:p>
    <w:p>
      <w:pPr>
        <w:pStyle w:val="Normal"/>
        <w:numPr>
          <w:ilvl w:val="3"/>
          <w:numId w:val="2"/>
        </w:numPr>
        <w:rPr>
          <w:rFonts w:ascii="Arial Rounded MT Bold" w:hAnsi="Arial Rounded MT Bold" w:cs="Arial"/>
        </w:rPr>
      </w:pPr>
      <w:r>
        <w:rPr>
          <w:rFonts w:cs="Arial" w:ascii="Arial Rounded MT Bold" w:hAnsi="Arial Rounded MT Bold"/>
        </w:rPr>
        <w:t>Dedicated Transport = ILEC transmission facilities, including all technically feasible capacity related services including DS1, DS3, and Ocn levels dedicated to a particular customer or carrier, that provide telecommunications between wire centers owned by ILECs or requesting carriers or between switches owned by ILECs or requesting carriers.</w:t>
      </w:r>
    </w:p>
    <w:p>
      <w:pPr>
        <w:pStyle w:val="Normal"/>
        <w:numPr>
          <w:ilvl w:val="3"/>
          <w:numId w:val="2"/>
        </w:numPr>
        <w:rPr>
          <w:rFonts w:ascii="Arial Rounded MT Bold" w:hAnsi="Arial Rounded MT Bold" w:cs="Arial"/>
        </w:rPr>
      </w:pPr>
      <w:r>
        <w:rPr>
          <w:rFonts w:cs="Arial" w:ascii="Arial Rounded MT Bold" w:hAnsi="Arial Rounded MT Bold"/>
        </w:rPr>
        <w:t>Dark Fiber Transport = ILEC optical transmission facilities without attached electronics. [NOTE: dark fiber is available as an unbundled loop or transport].</w:t>
      </w:r>
    </w:p>
    <w:p>
      <w:pPr>
        <w:pStyle w:val="Normal"/>
        <w:numPr>
          <w:ilvl w:val="3"/>
          <w:numId w:val="2"/>
        </w:numPr>
        <w:rPr>
          <w:rFonts w:ascii="Arial Rounded MT Bold" w:hAnsi="Arial Rounded MT Bold" w:cs="Arial"/>
        </w:rPr>
      </w:pPr>
      <w:r>
        <w:rPr>
          <w:rFonts w:cs="Arial" w:ascii="Arial Rounded MT Bold" w:hAnsi="Arial Rounded MT Bold"/>
        </w:rPr>
        <w:t>Shared Transport = transmission facilities shared by more than one carrier, including the ILEC, between end office and tandem switches and between tandem switches in a ILEC network.</w:t>
      </w:r>
    </w:p>
    <w:p>
      <w:pPr>
        <w:pStyle w:val="Normal"/>
        <w:rPr>
          <w:rFonts w:ascii="Arial Rounded MT Bold" w:hAnsi="Arial Rounded MT Bold" w:cs="Arial"/>
        </w:rPr>
      </w:pPr>
      <w:r>
        <w:rPr>
          <w:rFonts w:cs="Arial" w:ascii="Arial Rounded MT Bold" w:hAnsi="Arial Rounded MT Bold"/>
        </w:rPr>
      </w:r>
    </w:p>
    <w:p>
      <w:pPr>
        <w:pStyle w:val="Normal"/>
        <w:numPr>
          <w:ilvl w:val="0"/>
          <w:numId w:val="3"/>
        </w:numPr>
        <w:rPr>
          <w:rFonts w:ascii="Arial Rounded MT Bold" w:hAnsi="Arial Rounded MT Bold" w:cs="Arial"/>
        </w:rPr>
      </w:pPr>
      <w:r>
        <w:rPr>
          <w:rFonts w:cs="Arial" w:ascii="Arial Rounded MT Bold" w:hAnsi="Arial Rounded MT Bold"/>
        </w:rPr>
        <w:t>Signaling Networks = signaling links and signaling transfer points (“STPs”); after “purchasing” unbundled switching capability from an ILEC, the ILEC must provide access from that switch in the same manner in which it obtains such access itself.</w:t>
      </w:r>
    </w:p>
    <w:p>
      <w:pPr>
        <w:pStyle w:val="Normal"/>
        <w:ind w:start="1080" w:end="0"/>
        <w:rPr>
          <w:rFonts w:ascii="Arial Rounded MT Bold" w:hAnsi="Arial Rounded MT Bold" w:cs="Arial"/>
        </w:rPr>
      </w:pPr>
      <w:r>
        <w:rPr>
          <w:rFonts w:cs="Arial" w:ascii="Arial Rounded MT Bold" w:hAnsi="Arial Rounded MT Bold"/>
        </w:rPr>
      </w:r>
    </w:p>
    <w:p>
      <w:pPr>
        <w:pStyle w:val="Normal"/>
        <w:numPr>
          <w:ilvl w:val="0"/>
          <w:numId w:val="3"/>
        </w:numPr>
        <w:rPr>
          <w:rFonts w:ascii="Arial Rounded MT Bold" w:hAnsi="Arial Rounded MT Bold" w:cs="Arial"/>
        </w:rPr>
      </w:pPr>
      <w:r>
        <w:rPr>
          <w:rFonts w:cs="Arial" w:ascii="Arial Rounded MT Bold" w:hAnsi="Arial Rounded MT Bold"/>
        </w:rPr>
        <w:t>Sub-loop unbundling = any portion of the loop that is technically feasible to access at terminals in the ILEC’s outside plant, including inside wire; such points may include the pole or pedestal, the NID, the minimum point of entry, the main distribution frame, the remote terminal and the feeder/distribution interface.</w:t>
      </w:r>
    </w:p>
    <w:p>
      <w:pPr>
        <w:pStyle w:val="BodyTextIndent"/>
        <w:numPr>
          <w:ilvl w:val="3"/>
          <w:numId w:val="2"/>
        </w:numPr>
        <w:rPr/>
      </w:pPr>
      <w:r>
        <w:rPr/>
        <w:t>Note: Rebuttable presumptions that: (1) can acess at any accessible terminal and (2) access in one state is technically feasible in a different state.</w:t>
      </w:r>
    </w:p>
    <w:p>
      <w:pPr>
        <w:pStyle w:val="BodyTextIndent"/>
        <w:numPr>
          <w:ilvl w:val="3"/>
          <w:numId w:val="2"/>
        </w:numPr>
        <w:rPr/>
      </w:pPr>
      <w:r>
        <w:rPr/>
        <w:t>Note: Pending FCC NPRM (Aug. 2000) re: ILEC obligations to provide unbundled access to subloop, particularly fiber feed portion, where have inadequate existing capacity.</w:t>
      </w:r>
    </w:p>
    <w:p>
      <w:pPr>
        <w:pStyle w:val="Normal"/>
        <w:rPr>
          <w:rFonts w:ascii="Arial Rounded MT Bold" w:hAnsi="Arial Rounded MT Bold" w:cs="Arial"/>
        </w:rPr>
      </w:pPr>
      <w:r>
        <w:rPr>
          <w:rFonts w:cs="Arial" w:ascii="Arial Rounded MT Bold" w:hAnsi="Arial Rounded MT Bold"/>
        </w:rPr>
      </w:r>
    </w:p>
    <w:p>
      <w:pPr>
        <w:pStyle w:val="Normal"/>
        <w:numPr>
          <w:ilvl w:val="0"/>
          <w:numId w:val="3"/>
        </w:numPr>
        <w:rPr>
          <w:rFonts w:ascii="Arial Rounded MT Bold" w:hAnsi="Arial Rounded MT Bold" w:cs="Arial"/>
        </w:rPr>
      </w:pPr>
      <w:r>
        <w:rPr>
          <w:rFonts w:cs="Arial" w:ascii="Arial Rounded MT Bold" w:hAnsi="Arial Rounded MT Bold"/>
        </w:rPr>
        <w:t>Call-related Databases = databases, other than operations support systems, that are used in signaling networks for billing and collection in the transmission, routing, or other provision of a telecommunications service; examples of databases include LIDB, 800 database, downstream number portability database, and Advanced Intelligent Network (“AIN”) databases; after “purchasing” switching capability, entitled to use the ILEC’s service control point (“SCP”) in the same manner and via the same signaling lines as the ILEC; also, if deploy own switch and link it to ILEC’s signaling system and SCP, then permitted to provide any call-related, database-supported service to customers served by that switch.</w:t>
      </w:r>
    </w:p>
    <w:p>
      <w:pPr>
        <w:pStyle w:val="Normal"/>
        <w:rPr>
          <w:rFonts w:ascii="Arial Rounded MT Bold" w:hAnsi="Arial Rounded MT Bold" w:cs="Arial"/>
        </w:rPr>
      </w:pPr>
      <w:r>
        <w:rPr>
          <w:rFonts w:cs="Arial" w:ascii="Arial Rounded MT Bold" w:hAnsi="Arial Rounded MT Bold"/>
        </w:rPr>
      </w:r>
    </w:p>
    <w:p>
      <w:pPr>
        <w:pStyle w:val="Normal"/>
        <w:numPr>
          <w:ilvl w:val="0"/>
          <w:numId w:val="3"/>
        </w:numPr>
        <w:rPr>
          <w:rFonts w:ascii="Arial Rounded MT Bold" w:hAnsi="Arial Rounded MT Bold" w:cs="Arial"/>
        </w:rPr>
      </w:pPr>
      <w:r>
        <w:rPr>
          <w:rFonts w:cs="Arial" w:ascii="Arial Rounded MT Bold" w:hAnsi="Arial Rounded MT Bold"/>
        </w:rPr>
        <w:t>Service Management Systems = a computer database or system not part of the public switched network that (1) interconnects to the SCP and sends to the SCP the information and call processing instructions needed for a network to process and complete a telephone call and (2) provides carriers with the capability of entering and storing data regarding the processing and completing of a call.</w:t>
      </w:r>
    </w:p>
    <w:p>
      <w:pPr>
        <w:pStyle w:val="Normal"/>
        <w:rPr>
          <w:rFonts w:ascii="Arial Rounded MT Bold" w:hAnsi="Arial Rounded MT Bold" w:cs="Arial"/>
        </w:rPr>
      </w:pPr>
      <w:r>
        <w:rPr>
          <w:rFonts w:cs="Arial" w:ascii="Arial Rounded MT Bold" w:hAnsi="Arial Rounded MT Bold"/>
        </w:rPr>
      </w:r>
    </w:p>
    <w:p>
      <w:pPr>
        <w:pStyle w:val="Normal"/>
        <w:numPr>
          <w:ilvl w:val="0"/>
          <w:numId w:val="3"/>
        </w:numPr>
        <w:rPr>
          <w:rFonts w:ascii="Arial Rounded MT Bold" w:hAnsi="Arial Rounded MT Bold" w:cs="Arial"/>
        </w:rPr>
      </w:pPr>
      <w:r>
        <w:rPr>
          <w:rFonts w:cs="Arial" w:ascii="Arial Rounded MT Bold" w:hAnsi="Arial Rounded MT Bold"/>
        </w:rPr>
        <w:t xml:space="preserve">Operations Support Systems (“OSS”) = functions supported by an ILEC’s database and information, including preordering, ordering, provisioning, maintenance and repair, and billing functions. </w:t>
      </w:r>
    </w:p>
    <w:p>
      <w:pPr>
        <w:pStyle w:val="Normal"/>
        <w:numPr>
          <w:ilvl w:val="3"/>
          <w:numId w:val="2"/>
        </w:numPr>
        <w:rPr>
          <w:rFonts w:ascii="Arial Rounded MT Bold" w:hAnsi="Arial Rounded MT Bold" w:cs="Arial"/>
        </w:rPr>
      </w:pPr>
      <w:r>
        <w:rPr>
          <w:rFonts w:cs="Arial" w:ascii="Arial Rounded MT Bold" w:hAnsi="Arial Rounded MT Bold"/>
        </w:rPr>
        <w:t>Note: includes access to all loop information</w:t>
      </w:r>
    </w:p>
    <w:p>
      <w:pPr>
        <w:pStyle w:val="Normal"/>
        <w:rPr>
          <w:rFonts w:ascii="Arial Rounded MT Bold" w:hAnsi="Arial Rounded MT Bold" w:cs="Arial"/>
        </w:rPr>
      </w:pPr>
      <w:r>
        <w:rPr>
          <w:rFonts w:cs="Arial" w:ascii="Arial Rounded MT Bold" w:hAnsi="Arial Rounded MT Bold"/>
        </w:rPr>
      </w:r>
    </w:p>
    <w:p>
      <w:pPr>
        <w:pStyle w:val="Normal"/>
        <w:numPr>
          <w:ilvl w:val="0"/>
          <w:numId w:val="2"/>
        </w:numPr>
        <w:rPr>
          <w:rFonts w:ascii="Arial Rounded MT Bold" w:hAnsi="Arial Rounded MT Bold" w:cs="Arial"/>
        </w:rPr>
      </w:pPr>
      <w:r>
        <w:rPr>
          <w:rFonts w:cs="Arial" w:ascii="Arial Rounded MT Bold" w:hAnsi="Arial Rounded MT Bold"/>
        </w:rPr>
        <w:t xml:space="preserve">Additional Elements Available to CLECs </w:t>
      </w:r>
    </w:p>
    <w:p>
      <w:pPr>
        <w:pStyle w:val="Normal"/>
        <w:ind w:start="1080" w:end="0"/>
        <w:rPr>
          <w:rFonts w:ascii="Arial Rounded MT Bold" w:hAnsi="Arial Rounded MT Bold" w:cs="Arial"/>
        </w:rPr>
      </w:pPr>
      <w:r>
        <w:rPr>
          <w:rFonts w:cs="Arial" w:ascii="Arial Rounded MT Bold" w:hAnsi="Arial Rounded MT Bold"/>
        </w:rPr>
      </w:r>
    </w:p>
    <w:p>
      <w:pPr>
        <w:pStyle w:val="Normal"/>
        <w:numPr>
          <w:ilvl w:val="0"/>
          <w:numId w:val="3"/>
        </w:numPr>
        <w:rPr>
          <w:rFonts w:ascii="Arial Rounded MT Bold" w:hAnsi="Arial Rounded MT Bold" w:cs="Arial"/>
        </w:rPr>
      </w:pPr>
      <w:r>
        <w:rPr>
          <w:rFonts w:cs="Arial" w:ascii="Arial Rounded MT Bold" w:hAnsi="Arial Rounded MT Bold"/>
        </w:rPr>
        <w:t>Line Sharing = unbundling of the high frequency portion of the ILEC loop when the ILEC provides voice service to the customer; line sharing obligation extends to entire loop, even where ILEC has deployed fiber in the loop (</w:t>
      </w:r>
      <w:r>
        <w:rPr>
          <w:rFonts w:cs="Arial" w:ascii="Arial Rounded MT Bold" w:hAnsi="Arial Rounded MT Bold"/>
          <w:i/>
          <w:iCs/>
        </w:rPr>
        <w:t>e.g.</w:t>
      </w:r>
      <w:r>
        <w:rPr>
          <w:rFonts w:cs="Arial" w:ascii="Arial Rounded MT Bold" w:hAnsi="Arial Rounded MT Bold"/>
        </w:rPr>
        <w:t>, loops served by remote terminals).</w:t>
      </w:r>
    </w:p>
    <w:p>
      <w:pPr>
        <w:pStyle w:val="Normal"/>
        <w:numPr>
          <w:ilvl w:val="3"/>
          <w:numId w:val="2"/>
        </w:numPr>
        <w:rPr>
          <w:rFonts w:ascii="Arial Rounded MT Bold" w:hAnsi="Arial Rounded MT Bold" w:cs="Arial"/>
        </w:rPr>
      </w:pPr>
      <w:r>
        <w:rPr>
          <w:rFonts w:cs="Arial" w:ascii="Arial Rounded MT Bold" w:hAnsi="Arial Rounded MT Bold"/>
        </w:rPr>
        <w:t>Note: pending NPRM (Jan. 2001) re: methods by which CLECs can access unbundled high frequency portion of loop where fiber deployed in loop.</w:t>
      </w:r>
    </w:p>
    <w:p>
      <w:pPr>
        <w:pStyle w:val="Footer"/>
        <w:tabs>
          <w:tab w:val="clear" w:pos="4320"/>
          <w:tab w:val="clear" w:pos="8640"/>
        </w:tabs>
        <w:rPr>
          <w:rFonts w:ascii="Arial Rounded MT Bold" w:hAnsi="Arial Rounded MT Bold" w:cs="Arial"/>
        </w:rPr>
      </w:pPr>
      <w:r>
        <w:rPr>
          <w:rFonts w:cs="Arial" w:ascii="Arial Rounded MT Bold" w:hAnsi="Arial Rounded MT Bold"/>
        </w:rPr>
      </w:r>
    </w:p>
    <w:p>
      <w:pPr>
        <w:pStyle w:val="Normal"/>
        <w:numPr>
          <w:ilvl w:val="0"/>
          <w:numId w:val="3"/>
        </w:numPr>
        <w:rPr>
          <w:rFonts w:ascii="Arial Rounded MT Bold" w:hAnsi="Arial Rounded MT Bold" w:cs="Arial"/>
        </w:rPr>
      </w:pPr>
      <w:r>
        <w:rPr>
          <w:rFonts w:cs="Arial" w:ascii="Arial Rounded MT Bold" w:hAnsi="Arial Rounded MT Bold"/>
        </w:rPr>
        <w:t>Line Splitting = unbundling of the high frequency portion of the loop when the ILEC is not the voice provider.</w:t>
      </w:r>
    </w:p>
    <w:p>
      <w:pPr>
        <w:pStyle w:val="Normal"/>
        <w:rPr>
          <w:rFonts w:ascii="Arial Rounded MT Bold" w:hAnsi="Arial Rounded MT Bold" w:cs="Arial"/>
        </w:rPr>
      </w:pPr>
      <w:r>
        <w:rPr>
          <w:rFonts w:cs="Arial" w:ascii="Arial Rounded MT Bold" w:hAnsi="Arial Rounded MT Bold"/>
        </w:rPr>
      </w:r>
    </w:p>
    <w:p>
      <w:pPr>
        <w:pStyle w:val="Normal"/>
        <w:numPr>
          <w:ilvl w:val="0"/>
          <w:numId w:val="3"/>
        </w:numPr>
        <w:rPr>
          <w:rFonts w:ascii="Arial Rounded MT Bold" w:hAnsi="Arial Rounded MT Bold" w:cs="Arial"/>
        </w:rPr>
      </w:pPr>
      <w:r>
        <w:rPr>
          <w:rFonts w:cs="Arial" w:ascii="Arial Rounded MT Bold" w:hAnsi="Arial Rounded MT Bold"/>
        </w:rPr>
        <w:t>Collocation: ILECs must permit the collocation (physical, virtual, shared, cageless) of any type of equipment used for interconnection or access to unbundled elements (section 251 (c)(6)); determine type of equipment needed</w:t>
      </w:r>
    </w:p>
    <w:p>
      <w:pPr>
        <w:pStyle w:val="Normal"/>
        <w:numPr>
          <w:ilvl w:val="3"/>
          <w:numId w:val="2"/>
        </w:numPr>
        <w:rPr>
          <w:rFonts w:ascii="Arial Rounded MT Bold" w:hAnsi="Arial Rounded MT Bold" w:cs="Arial"/>
        </w:rPr>
      </w:pPr>
      <w:r>
        <w:rPr>
          <w:rFonts w:cs="Arial" w:ascii="Arial Rounded MT Bold" w:hAnsi="Arial Rounded MT Bold"/>
        </w:rPr>
        <w:t>NOTE: D.C. Circuit court has vacated and remanded FCC rules (</w:t>
      </w:r>
      <w:r>
        <w:rPr>
          <w:rFonts w:cs="Arial" w:ascii="Arial Rounded MT Bold" w:hAnsi="Arial Rounded MT Bold"/>
          <w:i/>
          <w:iCs/>
        </w:rPr>
        <w:t>i.e.</w:t>
      </w:r>
      <w:r>
        <w:rPr>
          <w:rFonts w:cs="Arial" w:ascii="Arial Rounded MT Bold" w:hAnsi="Arial Rounded MT Bold"/>
        </w:rPr>
        <w:t>, type of equipment to be collocated in central office; whether CLECs can cage connect in central office; how long ILECS should have to install collocations – currently up for dispute)</w:t>
      </w:r>
    </w:p>
    <w:p>
      <w:pPr>
        <w:pStyle w:val="Normal"/>
        <w:ind w:start="2520" w:end="0"/>
        <w:rPr>
          <w:rFonts w:ascii="Arial Rounded MT Bold" w:hAnsi="Arial Rounded MT Bold" w:cs="Arial"/>
        </w:rPr>
      </w:pPr>
      <w:r>
        <w:rPr>
          <w:rFonts w:cs="Arial" w:ascii="Arial Rounded MT Bold" w:hAnsi="Arial Rounded MT Bold"/>
        </w:rPr>
      </w:r>
    </w:p>
    <w:p>
      <w:pPr>
        <w:pStyle w:val="Footer"/>
        <w:numPr>
          <w:ilvl w:val="0"/>
          <w:numId w:val="2"/>
        </w:numPr>
        <w:tabs>
          <w:tab w:val="clear" w:pos="4320"/>
          <w:tab w:val="clear" w:pos="8640"/>
        </w:tabs>
        <w:rPr>
          <w:rFonts w:ascii="Arial Rounded MT Bold" w:hAnsi="Arial Rounded MT Bold" w:cs="Arial"/>
        </w:rPr>
      </w:pPr>
      <w:r>
        <w:rPr>
          <w:rFonts w:cs="Arial" w:ascii="Arial Rounded MT Bold" w:hAnsi="Arial Rounded MT Bold"/>
        </w:rPr>
        <w:t>Pricing/Billing Opportunities</w:t>
      </w:r>
    </w:p>
    <w:p>
      <w:pPr>
        <w:pStyle w:val="Footer"/>
        <w:tabs>
          <w:tab w:val="clear" w:pos="4320"/>
          <w:tab w:val="clear" w:pos="8640"/>
        </w:tabs>
        <w:ind w:start="360" w:end="0"/>
        <w:rPr>
          <w:rFonts w:ascii="Arial Rounded MT Bold" w:hAnsi="Arial Rounded MT Bold" w:cs="Arial"/>
        </w:rPr>
      </w:pPr>
      <w:r>
        <w:rPr>
          <w:rFonts w:cs="Arial" w:ascii="Arial Rounded MT Bold" w:hAnsi="Arial Rounded MT Bold"/>
        </w:rPr>
      </w:r>
    </w:p>
    <w:p>
      <w:pPr>
        <w:pStyle w:val="Footer"/>
        <w:numPr>
          <w:ilvl w:val="0"/>
          <w:numId w:val="5"/>
        </w:numPr>
        <w:tabs>
          <w:tab w:val="clear" w:pos="4320"/>
          <w:tab w:val="clear" w:pos="8640"/>
        </w:tabs>
        <w:rPr>
          <w:rFonts w:ascii="Arial Rounded MT Bold" w:hAnsi="Arial Rounded MT Bold" w:cs="Arial"/>
        </w:rPr>
      </w:pPr>
      <w:r>
        <w:rPr>
          <w:rFonts w:cs="Arial" w:ascii="Arial Rounded MT Bold" w:hAnsi="Arial Rounded MT Bold"/>
        </w:rPr>
        <w:t>Access fees = compensation involving long distance calls; as a CLEC, entitled to charge IXCs for access to local loop (</w:t>
      </w:r>
      <w:r>
        <w:rPr>
          <w:rFonts w:cs="Arial" w:ascii="Arial Rounded MT Bold" w:hAnsi="Arial Rounded MT Bold"/>
          <w:i/>
          <w:iCs/>
        </w:rPr>
        <w:t>i.e.</w:t>
      </w:r>
      <w:r>
        <w:rPr>
          <w:rFonts w:cs="Arial" w:ascii="Arial Rounded MT Bold" w:hAnsi="Arial Rounded MT Bold"/>
        </w:rPr>
        <w:t>, to reach end-user to originate and terminate calls).</w:t>
      </w:r>
    </w:p>
    <w:p>
      <w:pPr>
        <w:pStyle w:val="Footer"/>
        <w:tabs>
          <w:tab w:val="clear" w:pos="4320"/>
          <w:tab w:val="clear" w:pos="8640"/>
        </w:tabs>
        <w:ind w:start="2520" w:end="0"/>
        <w:rPr>
          <w:rFonts w:ascii="Arial Rounded MT Bold" w:hAnsi="Arial Rounded MT Bold" w:cs="Arial"/>
        </w:rPr>
      </w:pPr>
      <w:r>
        <w:rPr>
          <w:rFonts w:cs="Arial" w:ascii="Arial Rounded MT Bold" w:hAnsi="Arial Rounded MT Bold"/>
        </w:rPr>
      </w:r>
    </w:p>
    <w:p>
      <w:pPr>
        <w:pStyle w:val="Footer"/>
        <w:numPr>
          <w:ilvl w:val="0"/>
          <w:numId w:val="5"/>
        </w:numPr>
        <w:tabs>
          <w:tab w:val="clear" w:pos="4320"/>
          <w:tab w:val="clear" w:pos="8640"/>
        </w:tabs>
        <w:rPr>
          <w:rFonts w:ascii="Arial Rounded MT Bold" w:hAnsi="Arial Rounded MT Bold" w:cs="Arial"/>
        </w:rPr>
      </w:pPr>
      <w:r>
        <w:rPr>
          <w:rFonts w:cs="Arial" w:ascii="Arial Rounded MT Bold" w:hAnsi="Arial Rounded MT Bold"/>
        </w:rPr>
        <w:t>Reciprocal Compensation = compensation for the transport and termination of local calls; imminent FCC inquiry (NOI) regarding nature of ISP-bound traffic; if intersate, beyond scope of the Act; if local, CLECs entitled to recip comp; FCC favors flat-rated charge based on capacity vs. minute-of-use charge; without federal rule setting the appropriate compensation method for this traffic, ILECs and CLECs bound by existing ICAs as interpreted by state commissions.</w:t>
      </w:r>
    </w:p>
    <w:p>
      <w:pPr>
        <w:pStyle w:val="Footer"/>
        <w:tabs>
          <w:tab w:val="clear" w:pos="4320"/>
          <w:tab w:val="clear" w:pos="8640"/>
        </w:tabs>
        <w:rPr>
          <w:rFonts w:ascii="Arial Rounded MT Bold" w:hAnsi="Arial Rounded MT Bold" w:cs="Arial"/>
        </w:rPr>
      </w:pPr>
      <w:r>
        <w:rPr>
          <w:rFonts w:cs="Arial" w:ascii="Arial Rounded MT Bold" w:hAnsi="Arial Rounded MT Bold"/>
        </w:rPr>
      </w:r>
    </w:p>
    <w:p>
      <w:pPr>
        <w:pStyle w:val="Footer"/>
        <w:numPr>
          <w:ilvl w:val="0"/>
          <w:numId w:val="5"/>
        </w:numPr>
        <w:tabs>
          <w:tab w:val="clear" w:pos="4320"/>
          <w:tab w:val="clear" w:pos="8640"/>
        </w:tabs>
        <w:rPr>
          <w:rFonts w:ascii="Arial Rounded MT Bold" w:hAnsi="Arial Rounded MT Bold" w:cs="Arial"/>
        </w:rPr>
      </w:pPr>
      <w:r>
        <w:rPr>
          <w:rFonts w:cs="Arial" w:ascii="Arial Rounded MT Bold" w:hAnsi="Arial Rounded MT Bold"/>
        </w:rPr>
        <w:t>Individualized Contract Basis (“ICB”) pricing: CLECs have opportunity to negotiate ICs with customers; some ILECs have filed (</w:t>
      </w:r>
      <w:r>
        <w:rPr>
          <w:rFonts w:cs="Arial" w:ascii="Arial Rounded MT Bold" w:hAnsi="Arial Rounded MT Bold"/>
          <w:i/>
          <w:iCs/>
        </w:rPr>
        <w:t>e.g</w:t>
      </w:r>
      <w:r>
        <w:rPr>
          <w:rFonts w:cs="Arial" w:ascii="Arial Rounded MT Bold" w:hAnsi="Arial Rounded MT Bold"/>
        </w:rPr>
        <w:t>., Bell Atlantic) and received permission to do the same</w:t>
      </w:r>
    </w:p>
    <w:p>
      <w:pPr>
        <w:pStyle w:val="Footer"/>
        <w:tabs>
          <w:tab w:val="clear" w:pos="4320"/>
          <w:tab w:val="clear" w:pos="8640"/>
        </w:tabs>
        <w:rPr>
          <w:rFonts w:ascii="Arial Rounded MT Bold" w:hAnsi="Arial Rounded MT Bold" w:cs="Arial"/>
        </w:rPr>
      </w:pPr>
      <w:r>
        <w:rPr>
          <w:rFonts w:cs="Arial" w:ascii="Arial Rounded MT Bold" w:hAnsi="Arial Rounded MT Bold"/>
        </w:rPr>
      </w:r>
    </w:p>
    <w:p>
      <w:pPr>
        <w:pStyle w:val="Footer"/>
        <w:numPr>
          <w:ilvl w:val="0"/>
          <w:numId w:val="2"/>
        </w:numPr>
        <w:tabs>
          <w:tab w:val="clear" w:pos="4320"/>
          <w:tab w:val="clear" w:pos="8640"/>
        </w:tabs>
        <w:rPr>
          <w:rFonts w:ascii="Arial Rounded MT Bold" w:hAnsi="Arial Rounded MT Bold" w:cs="Arial"/>
        </w:rPr>
      </w:pPr>
      <w:r>
        <w:rPr>
          <w:rFonts w:cs="Arial" w:ascii="Arial Rounded MT Bold" w:hAnsi="Arial Rounded MT Bold"/>
        </w:rPr>
        <w:t>Issue/Contact Match-up</w:t>
      </w:r>
    </w:p>
    <w:p>
      <w:pPr>
        <w:pStyle w:val="Footer"/>
        <w:tabs>
          <w:tab w:val="clear" w:pos="4320"/>
          <w:tab w:val="clear" w:pos="8640"/>
        </w:tabs>
        <w:ind w:start="360" w:end="0"/>
        <w:rPr>
          <w:rFonts w:ascii="Arial Rounded MT Bold" w:hAnsi="Arial Rounded MT Bold" w:cs="Arial"/>
        </w:rPr>
      </w:pPr>
      <w:r>
        <w:rPr>
          <w:rFonts w:cs="Arial" w:ascii="Arial Rounded MT Bold" w:hAnsi="Arial Rounded MT Bold"/>
        </w:rPr>
      </w:r>
    </w:p>
    <w:p>
      <w:pPr>
        <w:pStyle w:val="Footer"/>
        <w:numPr>
          <w:ilvl w:val="0"/>
          <w:numId w:val="4"/>
        </w:numPr>
        <w:tabs>
          <w:tab w:val="clear" w:pos="4320"/>
          <w:tab w:val="clear" w:pos="8640"/>
        </w:tabs>
        <w:rPr>
          <w:rFonts w:ascii="Arial Rounded MT Bold" w:hAnsi="Arial Rounded MT Bold" w:cs="Arial"/>
        </w:rPr>
      </w:pPr>
      <w:r>
        <w:rPr>
          <w:rFonts w:cs="Arial" w:ascii="Arial Rounded MT Bold" w:hAnsi="Arial Rounded MT Bold"/>
        </w:rPr>
        <w:t>Service Quality</w:t>
      </w:r>
    </w:p>
    <w:p>
      <w:pPr>
        <w:pStyle w:val="Footer"/>
        <w:tabs>
          <w:tab w:val="clear" w:pos="4320"/>
          <w:tab w:val="clear" w:pos="8640"/>
        </w:tabs>
        <w:ind w:start="1080" w:end="0"/>
        <w:rPr>
          <w:rFonts w:ascii="Arial Rounded MT Bold" w:hAnsi="Arial Rounded MT Bold" w:cs="Arial"/>
        </w:rPr>
      </w:pPr>
      <w:r>
        <w:rPr>
          <w:rFonts w:cs="Arial" w:ascii="Arial Rounded MT Bold" w:hAnsi="Arial Rounded MT Bold"/>
        </w:rPr>
      </w:r>
    </w:p>
    <w:p>
      <w:pPr>
        <w:pStyle w:val="Footer"/>
        <w:numPr>
          <w:ilvl w:val="0"/>
          <w:numId w:val="4"/>
        </w:numPr>
        <w:tabs>
          <w:tab w:val="clear" w:pos="4320"/>
          <w:tab w:val="clear" w:pos="8640"/>
        </w:tabs>
        <w:rPr>
          <w:rFonts w:ascii="Arial Rounded MT Bold" w:hAnsi="Arial Rounded MT Bold" w:cs="Arial"/>
        </w:rPr>
      </w:pPr>
      <w:r>
        <w:rPr>
          <w:rFonts w:cs="Arial" w:ascii="Arial Rounded MT Bold" w:hAnsi="Arial Rounded MT Bold"/>
        </w:rPr>
        <w:t>Contact with customers / Provisioning / ETI due diligence for future PUC interaction</w:t>
      </w:r>
    </w:p>
    <w:p>
      <w:pPr>
        <w:pStyle w:val="Footer"/>
        <w:tabs>
          <w:tab w:val="clear" w:pos="4320"/>
          <w:tab w:val="clear" w:pos="8640"/>
        </w:tabs>
        <w:rPr>
          <w:rFonts w:ascii="Arial Rounded MT Bold" w:hAnsi="Arial Rounded MT Bold" w:cs="Arial"/>
        </w:rPr>
      </w:pPr>
      <w:r>
        <w:rPr>
          <w:rFonts w:cs="Arial" w:ascii="Arial Rounded MT Bold" w:hAnsi="Arial Rounded MT Bold"/>
        </w:rPr>
      </w:r>
    </w:p>
    <w:p>
      <w:pPr>
        <w:pStyle w:val="Footer"/>
        <w:numPr>
          <w:ilvl w:val="0"/>
          <w:numId w:val="4"/>
        </w:numPr>
        <w:tabs>
          <w:tab w:val="clear" w:pos="4320"/>
          <w:tab w:val="clear" w:pos="8640"/>
        </w:tabs>
        <w:rPr>
          <w:rFonts w:ascii="Arial Rounded MT Bold" w:hAnsi="Arial Rounded MT Bold" w:cs="Arial"/>
        </w:rPr>
      </w:pPr>
      <w:r>
        <w:rPr>
          <w:rFonts w:cs="Arial" w:ascii="Arial Rounded MT Bold" w:hAnsi="Arial Rounded MT Bold"/>
        </w:rPr>
        <w:t>Access to special features</w:t>
      </w:r>
    </w:p>
    <w:p>
      <w:pPr>
        <w:pStyle w:val="Footer"/>
        <w:tabs>
          <w:tab w:val="clear" w:pos="4320"/>
          <w:tab w:val="clear" w:pos="8640"/>
        </w:tabs>
        <w:rPr>
          <w:rFonts w:ascii="Arial Rounded MT Bold" w:hAnsi="Arial Rounded MT Bold" w:cs="Arial"/>
        </w:rPr>
      </w:pPr>
      <w:r>
        <w:rPr>
          <w:rFonts w:cs="Arial" w:ascii="Arial Rounded MT Bold" w:hAnsi="Arial Rounded MT Bold"/>
        </w:rPr>
      </w:r>
    </w:p>
    <w:p>
      <w:pPr>
        <w:pStyle w:val="Footer"/>
        <w:numPr>
          <w:ilvl w:val="0"/>
          <w:numId w:val="4"/>
        </w:numPr>
        <w:tabs>
          <w:tab w:val="clear" w:pos="4320"/>
          <w:tab w:val="clear" w:pos="8640"/>
        </w:tabs>
        <w:rPr>
          <w:rFonts w:ascii="Arial Rounded MT Bold" w:hAnsi="Arial Rounded MT Bold" w:cs="Arial"/>
        </w:rPr>
      </w:pPr>
      <w:r>
        <w:rPr>
          <w:rFonts w:cs="Arial" w:ascii="Arial Rounded MT Bold" w:hAnsi="Arial Rounded MT Bold"/>
        </w:rPr>
        <w:t>Interference</w:t>
      </w:r>
    </w:p>
    <w:p>
      <w:pPr>
        <w:pStyle w:val="Footer"/>
        <w:tabs>
          <w:tab w:val="clear" w:pos="4320"/>
          <w:tab w:val="clear" w:pos="8640"/>
        </w:tabs>
        <w:rPr>
          <w:rFonts w:ascii="Arial Rounded MT Bold" w:hAnsi="Arial Rounded MT Bold" w:cs="Arial"/>
        </w:rPr>
      </w:pPr>
      <w:r>
        <w:rPr>
          <w:rFonts w:cs="Arial" w:ascii="Arial Rounded MT Bold" w:hAnsi="Arial Rounded MT Bold"/>
        </w:rPr>
      </w:r>
    </w:p>
    <w:p>
      <w:pPr>
        <w:pStyle w:val="Footer"/>
        <w:numPr>
          <w:ilvl w:val="0"/>
          <w:numId w:val="4"/>
        </w:numPr>
        <w:tabs>
          <w:tab w:val="clear" w:pos="4320"/>
          <w:tab w:val="clear" w:pos="8640"/>
        </w:tabs>
        <w:rPr>
          <w:rFonts w:ascii="Arial Rounded MT Bold" w:hAnsi="Arial Rounded MT Bold" w:cs="Arial"/>
        </w:rPr>
      </w:pPr>
      <w:r>
        <w:rPr>
          <w:rFonts w:cs="Arial" w:ascii="Arial Rounded MT Bold" w:hAnsi="Arial Rounded MT Bold"/>
        </w:rPr>
        <w:t>Maintenance</w:t>
      </w:r>
    </w:p>
    <w:p>
      <w:pPr>
        <w:pStyle w:val="Footer"/>
        <w:tabs>
          <w:tab w:val="clear" w:pos="4320"/>
          <w:tab w:val="clear" w:pos="8640"/>
        </w:tabs>
        <w:rPr>
          <w:rFonts w:ascii="Arial Rounded MT Bold" w:hAnsi="Arial Rounded MT Bold" w:cs="Arial"/>
        </w:rPr>
      </w:pPr>
      <w:r>
        <w:rPr>
          <w:rFonts w:cs="Arial" w:ascii="Arial Rounded MT Bold" w:hAnsi="Arial Rounded MT Bold"/>
        </w:rPr>
      </w:r>
    </w:p>
    <w:p>
      <w:pPr>
        <w:pStyle w:val="Footer"/>
        <w:numPr>
          <w:ilvl w:val="0"/>
          <w:numId w:val="4"/>
        </w:numPr>
        <w:tabs>
          <w:tab w:val="clear" w:pos="4320"/>
          <w:tab w:val="clear" w:pos="8640"/>
        </w:tabs>
        <w:rPr>
          <w:rFonts w:ascii="Arial Rounded MT Bold" w:hAnsi="Arial Rounded MT Bold" w:cs="Arial"/>
        </w:rPr>
      </w:pPr>
      <w:r>
        <w:rPr>
          <w:rFonts w:cs="Arial" w:ascii="Arial Rounded MT Bold" w:hAnsi="Arial Rounded MT Bold"/>
        </w:rPr>
        <w:t>Dispute escalation and resolution process</w:t>
      </w:r>
    </w:p>
    <w:p>
      <w:pPr>
        <w:pStyle w:val="Footer"/>
        <w:tabs>
          <w:tab w:val="clear" w:pos="4320"/>
          <w:tab w:val="clear" w:pos="8640"/>
        </w:tabs>
        <w:rPr>
          <w:rFonts w:ascii="Arial Rounded MT Bold" w:hAnsi="Arial Rounded MT Bold" w:cs="Arial"/>
        </w:rPr>
      </w:pPr>
      <w:r>
        <w:rPr>
          <w:rFonts w:cs="Arial" w:ascii="Arial Rounded MT Bold" w:hAnsi="Arial Rounded MT Bold"/>
        </w:rPr>
      </w:r>
    </w:p>
    <w:p>
      <w:pPr>
        <w:pStyle w:val="Footer"/>
        <w:numPr>
          <w:ilvl w:val="0"/>
          <w:numId w:val="4"/>
        </w:numPr>
        <w:tabs>
          <w:tab w:val="clear" w:pos="4320"/>
          <w:tab w:val="clear" w:pos="8640"/>
        </w:tabs>
        <w:rPr>
          <w:rFonts w:ascii="Arial Rounded MT Bold" w:hAnsi="Arial Rounded MT Bold" w:cs="Arial"/>
        </w:rPr>
      </w:pPr>
      <w:r>
        <w:rPr>
          <w:rFonts w:cs="Arial" w:ascii="Arial Rounded MT Bold" w:hAnsi="Arial Rounded MT Bold"/>
        </w:rPr>
        <w:t>Interconnection with third parties</w:t>
      </w:r>
    </w:p>
    <w:p>
      <w:pPr>
        <w:pStyle w:val="Footer"/>
        <w:tabs>
          <w:tab w:val="clear" w:pos="4320"/>
          <w:tab w:val="clear" w:pos="8640"/>
        </w:tabs>
        <w:rPr>
          <w:rFonts w:ascii="Arial Rounded MT Bold" w:hAnsi="Arial Rounded MT Bold" w:cs="Arial"/>
        </w:rPr>
      </w:pPr>
      <w:r>
        <w:rPr>
          <w:rFonts w:cs="Arial" w:ascii="Arial Rounded MT Bold" w:hAnsi="Arial Rounded MT Bold"/>
        </w:rPr>
      </w:r>
    </w:p>
    <w:p>
      <w:pPr>
        <w:pStyle w:val="Footer"/>
        <w:numPr>
          <w:ilvl w:val="0"/>
          <w:numId w:val="4"/>
        </w:numPr>
        <w:tabs>
          <w:tab w:val="clear" w:pos="4320"/>
          <w:tab w:val="clear" w:pos="8640"/>
        </w:tabs>
        <w:rPr>
          <w:rFonts w:ascii="Arial Rounded MT Bold" w:hAnsi="Arial Rounded MT Bold" w:cs="Arial"/>
        </w:rPr>
      </w:pPr>
      <w:r>
        <w:rPr>
          <w:rFonts w:cs="Arial" w:ascii="Arial Rounded MT Bold" w:hAnsi="Arial Rounded MT Bold"/>
        </w:rPr>
        <w:t>Liability</w:t>
      </w:r>
    </w:p>
    <w:p>
      <w:pPr>
        <w:pStyle w:val="Footer"/>
        <w:tabs>
          <w:tab w:val="clear" w:pos="4320"/>
          <w:tab w:val="clear" w:pos="8640"/>
        </w:tabs>
        <w:rPr>
          <w:rFonts w:ascii="Arial Rounded MT Bold" w:hAnsi="Arial Rounded MT Bold" w:cs="Arial"/>
        </w:rPr>
      </w:pPr>
      <w:r>
        <w:rPr>
          <w:rFonts w:cs="Arial" w:ascii="Arial Rounded MT Bold" w:hAnsi="Arial Rounded MT Bold"/>
        </w:rPr>
      </w:r>
    </w:p>
    <w:p>
      <w:pPr>
        <w:pStyle w:val="Footer"/>
        <w:numPr>
          <w:ilvl w:val="0"/>
          <w:numId w:val="4"/>
        </w:numPr>
        <w:tabs>
          <w:tab w:val="clear" w:pos="4320"/>
          <w:tab w:val="clear" w:pos="8640"/>
        </w:tabs>
        <w:rPr>
          <w:rFonts w:ascii="Arial Rounded MT Bold" w:hAnsi="Arial Rounded MT Bold" w:cs="Arial"/>
        </w:rPr>
      </w:pPr>
      <w:r>
        <w:rPr>
          <w:rFonts w:cs="Arial" w:ascii="Arial Rounded MT Bold" w:hAnsi="Arial Rounded MT Bold"/>
        </w:rPr>
        <w:t>Fraud / Unauthorized use</w:t>
      </w:r>
    </w:p>
    <w:p>
      <w:pPr>
        <w:pStyle w:val="Footer"/>
        <w:tabs>
          <w:tab w:val="clear" w:pos="4320"/>
          <w:tab w:val="clear" w:pos="8640"/>
        </w:tabs>
        <w:rPr>
          <w:rFonts w:ascii="Arial Rounded MT Bold" w:hAnsi="Arial Rounded MT Bold" w:cs="Arial"/>
        </w:rPr>
      </w:pPr>
      <w:r>
        <w:rPr>
          <w:rFonts w:cs="Arial" w:ascii="Arial Rounded MT Bold" w:hAnsi="Arial Rounded MT Bold"/>
        </w:rPr>
      </w:r>
    </w:p>
    <w:p>
      <w:pPr>
        <w:pStyle w:val="Footer"/>
        <w:numPr>
          <w:ilvl w:val="0"/>
          <w:numId w:val="4"/>
        </w:numPr>
        <w:tabs>
          <w:tab w:val="clear" w:pos="4320"/>
          <w:tab w:val="clear" w:pos="8640"/>
        </w:tabs>
        <w:rPr>
          <w:rFonts w:ascii="Arial Rounded MT Bold" w:hAnsi="Arial Rounded MT Bold" w:cs="Arial"/>
        </w:rPr>
      </w:pPr>
      <w:r>
        <w:rPr>
          <w:rFonts w:cs="Arial" w:ascii="Arial Rounded MT Bold" w:hAnsi="Arial Rounded MT Bold"/>
        </w:rPr>
        <w:t>Forecasting (</w:t>
      </w:r>
      <w:r>
        <w:rPr>
          <w:rFonts w:cs="Arial" w:ascii="Arial Rounded MT Bold" w:hAnsi="Arial Rounded MT Bold"/>
          <w:i/>
          <w:iCs/>
        </w:rPr>
        <w:t>e.g</w:t>
      </w:r>
      <w:r>
        <w:rPr>
          <w:rFonts w:cs="Arial" w:ascii="Arial Rounded MT Bold" w:hAnsi="Arial Rounded MT Bold"/>
        </w:rPr>
        <w:t>., trunking capacity or how many UNEs needed)</w:t>
      </w:r>
    </w:p>
    <w:p>
      <w:pPr>
        <w:pStyle w:val="Footer"/>
        <w:tabs>
          <w:tab w:val="clear" w:pos="4320"/>
          <w:tab w:val="clear" w:pos="8640"/>
        </w:tabs>
        <w:rPr>
          <w:rFonts w:ascii="Arial Rounded MT Bold" w:hAnsi="Arial Rounded MT Bold" w:cs="Arial"/>
        </w:rPr>
      </w:pPr>
      <w:r>
        <w:rPr>
          <w:rFonts w:cs="Arial" w:ascii="Arial Rounded MT Bold" w:hAnsi="Arial Rounded MT Bold"/>
        </w:rPr>
      </w:r>
    </w:p>
    <w:p>
      <w:pPr>
        <w:pStyle w:val="Footer"/>
        <w:numPr>
          <w:ilvl w:val="0"/>
          <w:numId w:val="4"/>
        </w:numPr>
        <w:tabs>
          <w:tab w:val="clear" w:pos="4320"/>
          <w:tab w:val="clear" w:pos="8640"/>
        </w:tabs>
        <w:rPr>
          <w:rFonts w:ascii="Arial Rounded MT Bold" w:hAnsi="Arial Rounded MT Bold" w:cs="Arial"/>
        </w:rPr>
      </w:pPr>
      <w:r>
        <w:rPr>
          <w:rFonts w:cs="Arial" w:ascii="Arial Rounded MT Bold" w:hAnsi="Arial Rounded MT Bold"/>
        </w:rPr>
        <w:t>Bona Fide Request (“BFR”) process</w:t>
      </w:r>
    </w:p>
    <w:p>
      <w:pPr>
        <w:pStyle w:val="Footer"/>
        <w:tabs>
          <w:tab w:val="clear" w:pos="4320"/>
          <w:tab w:val="clear" w:pos="8640"/>
        </w:tabs>
        <w:rPr>
          <w:rFonts w:ascii="Arial Rounded MT Bold" w:hAnsi="Arial Rounded MT Bold" w:cs="Arial"/>
        </w:rPr>
      </w:pPr>
      <w:r>
        <w:rPr>
          <w:rFonts w:cs="Arial" w:ascii="Arial Rounded MT Bold" w:hAnsi="Arial Rounded MT Bold"/>
        </w:rPr>
      </w:r>
    </w:p>
    <w:p>
      <w:pPr>
        <w:pStyle w:val="Footer"/>
        <w:tabs>
          <w:tab w:val="clear" w:pos="4320"/>
          <w:tab w:val="clear" w:pos="8640"/>
        </w:tabs>
        <w:ind w:start="720" w:end="0"/>
        <w:rPr>
          <w:rFonts w:ascii="Arial Rounded MT Bold" w:hAnsi="Arial Rounded MT Bold" w:cs="Arial"/>
        </w:rPr>
      </w:pPr>
      <w:r>
        <w:rPr>
          <w:rFonts w:cs="Arial" w:ascii="Arial Rounded MT Bold" w:hAnsi="Arial Rounded MT Bold"/>
        </w:rPr>
      </w:r>
    </w:p>
    <w:p>
      <w:pPr>
        <w:pStyle w:val="Footer"/>
        <w:tabs>
          <w:tab w:val="clear" w:pos="4320"/>
          <w:tab w:val="clear" w:pos="8640"/>
        </w:tabs>
        <w:ind w:start="720" w:end="0"/>
        <w:rPr>
          <w:rFonts w:ascii="Arial Rounded MT Bold" w:hAnsi="Arial Rounded MT Bold" w:cs="Arial"/>
          <w:sz w:val="28"/>
          <w:u w:val="single"/>
        </w:rPr>
      </w:pPr>
      <w:r>
        <w:rPr>
          <w:rFonts w:cs="Arial" w:ascii="Arial Rounded MT Bold" w:hAnsi="Arial Rounded MT Bold"/>
          <w:sz w:val="28"/>
          <w:u w:val="single"/>
        </w:rPr>
        <w:t>EELs:</w:t>
      </w:r>
    </w:p>
    <w:p>
      <w:pPr>
        <w:pStyle w:val="Footer"/>
        <w:tabs>
          <w:tab w:val="clear" w:pos="4320"/>
          <w:tab w:val="clear" w:pos="8640"/>
        </w:tabs>
        <w:ind w:start="720" w:end="0"/>
        <w:rPr>
          <w:rFonts w:ascii="Arial Rounded MT Bold" w:hAnsi="Arial Rounded MT Bold" w:cs="Arial"/>
          <w:sz w:val="28"/>
          <w:u w:val="single"/>
        </w:rPr>
      </w:pPr>
      <w:r>
        <w:rPr>
          <w:rFonts w:cs="Arial" w:ascii="Arial Rounded MT Bold" w:hAnsi="Arial Rounded MT Bold"/>
          <w:sz w:val="28"/>
          <w:u w:val="single"/>
        </w:rPr>
      </w:r>
    </w:p>
    <w:p>
      <w:pPr>
        <w:pStyle w:val="Footer"/>
        <w:tabs>
          <w:tab w:val="clear" w:pos="4320"/>
          <w:tab w:val="clear" w:pos="8640"/>
        </w:tabs>
        <w:ind w:start="720" w:end="0"/>
        <w:rPr>
          <w:rFonts w:ascii="Arial Rounded MT Bold" w:hAnsi="Arial Rounded MT Bold" w:cs="Arial"/>
        </w:rPr>
      </w:pPr>
      <w:r>
        <w:rPr>
          <w:rFonts w:cs="Arial" w:ascii="Arial Rounded MT Bold" w:hAnsi="Arial Rounded MT Bold"/>
        </w:rPr>
        <w:t>-&gt; To use the EEL, the CLEC must either be the exclusive local provider, or:</w:t>
      </w:r>
    </w:p>
    <w:p>
      <w:pPr>
        <w:pStyle w:val="Footer"/>
        <w:tabs>
          <w:tab w:val="clear" w:pos="4320"/>
          <w:tab w:val="clear" w:pos="8640"/>
        </w:tabs>
        <w:ind w:start="720" w:end="0"/>
        <w:rPr>
          <w:rFonts w:ascii="Arial Rounded MT Bold" w:hAnsi="Arial Rounded MT Bold" w:cs="Arial"/>
        </w:rPr>
      </w:pPr>
      <w:r>
        <w:rPr>
          <w:rFonts w:cs="Arial" w:ascii="Arial Rounded MT Bold" w:hAnsi="Arial Rounded MT Bold"/>
        </w:rPr>
      </w:r>
    </w:p>
    <w:p>
      <w:pPr>
        <w:pStyle w:val="Footer"/>
        <w:tabs>
          <w:tab w:val="clear" w:pos="4320"/>
          <w:tab w:val="clear" w:pos="8640"/>
        </w:tabs>
        <w:ind w:start="720" w:end="0"/>
        <w:rPr>
          <w:rFonts w:ascii="Arial Rounded MT Bold" w:hAnsi="Arial Rounded MT Bold" w:cs="Arial"/>
        </w:rPr>
      </w:pPr>
      <w:r>
        <w:rPr>
          <w:rFonts w:cs="Arial" w:ascii="Arial Rounded MT Bold" w:hAnsi="Arial Rounded MT Bold"/>
        </w:rPr>
        <w:t xml:space="preserve">-&gt; If the CLEC is not the exclusive local provider of local service, it must demonstrate that: </w:t>
      </w:r>
    </w:p>
    <w:p>
      <w:pPr>
        <w:pStyle w:val="Footer"/>
        <w:tabs>
          <w:tab w:val="clear" w:pos="4320"/>
          <w:tab w:val="clear" w:pos="8640"/>
        </w:tabs>
        <w:ind w:start="720" w:end="0"/>
        <w:rPr>
          <w:rFonts w:ascii="Arial Rounded MT Bold" w:hAnsi="Arial Rounded MT Bold" w:cs="Arial"/>
        </w:rPr>
      </w:pPr>
      <w:r>
        <w:rPr>
          <w:rFonts w:cs="Arial" w:ascii="Arial Rounded MT Bold" w:hAnsi="Arial Rounded MT Bold"/>
        </w:rPr>
      </w:r>
    </w:p>
    <w:p>
      <w:pPr>
        <w:pStyle w:val="Footer"/>
        <w:numPr>
          <w:ilvl w:val="1"/>
          <w:numId w:val="1"/>
        </w:numPr>
        <w:tabs>
          <w:tab w:val="clear" w:pos="4320"/>
          <w:tab w:val="clear" w:pos="8640"/>
        </w:tabs>
        <w:rPr>
          <w:rFonts w:ascii="Arial Rounded MT Bold" w:hAnsi="Arial Rounded MT Bold" w:cs="Arial"/>
        </w:rPr>
      </w:pPr>
      <w:r>
        <w:rPr>
          <w:rFonts w:cs="Arial" w:ascii="Arial Rounded MT Bold" w:hAnsi="Arial Rounded MT Bold"/>
        </w:rPr>
        <w:t xml:space="preserve">All of the circuits it provides must have at least 50% voice grade traffic; or </w:t>
      </w:r>
    </w:p>
    <w:p>
      <w:pPr>
        <w:pStyle w:val="Footer"/>
        <w:numPr>
          <w:ilvl w:val="1"/>
          <w:numId w:val="1"/>
        </w:numPr>
        <w:tabs>
          <w:tab w:val="clear" w:pos="4320"/>
          <w:tab w:val="clear" w:pos="8640"/>
        </w:tabs>
        <w:rPr>
          <w:rFonts w:ascii="Arial Rounded MT Bold" w:hAnsi="Arial Rounded MT Bold" w:cs="Arial"/>
        </w:rPr>
      </w:pPr>
      <w:r>
        <w:rPr>
          <w:rFonts w:cs="Arial" w:ascii="Arial Rounded MT Bold" w:hAnsi="Arial Rounded MT Bold"/>
        </w:rPr>
        <w:t>It handles 33% of end user’s local traffic with at least 50% of each activated channel having 5% voice grade traffic and the entire loop facility having at least 10% local voice grade traffic.</w:t>
      </w:r>
    </w:p>
    <w:p>
      <w:pPr>
        <w:pStyle w:val="Footer"/>
        <w:tabs>
          <w:tab w:val="clear" w:pos="4320"/>
          <w:tab w:val="clear" w:pos="8640"/>
        </w:tabs>
        <w:ind w:start="720" w:end="0"/>
        <w:rPr>
          <w:rFonts w:ascii="Arial Rounded MT Bold" w:hAnsi="Arial Rounded MT Bold" w:cs="Arial"/>
        </w:rPr>
      </w:pPr>
      <w:r>
        <w:rPr>
          <w:rFonts w:cs="Arial" w:ascii="Arial Rounded MT Bold" w:hAnsi="Arial Rounded MT Bold"/>
        </w:rPr>
      </w:r>
    </w:p>
    <w:p>
      <w:pPr>
        <w:pStyle w:val="Footer"/>
        <w:tabs>
          <w:tab w:val="clear" w:pos="4320"/>
          <w:tab w:val="clear" w:pos="8640"/>
        </w:tabs>
        <w:ind w:start="720" w:end="0"/>
        <w:rPr>
          <w:rFonts w:ascii="Arial Rounded MT Bold" w:hAnsi="Arial Rounded MT Bold" w:cs="Arial"/>
        </w:rPr>
      </w:pPr>
      <w:r>
        <w:rPr>
          <w:rFonts w:cs="Arial" w:ascii="Arial Rounded MT Bold" w:hAnsi="Arial Rounded MT Bold"/>
        </w:rPr>
        <w:t>-&gt; In all cases, the EEL must terminate at a collocation and cannot mix with access facilities (no commingling).</w:t>
      </w:r>
    </w:p>
    <w:p>
      <w:pPr>
        <w:pStyle w:val="Footer"/>
        <w:tabs>
          <w:tab w:val="clear" w:pos="4320"/>
          <w:tab w:val="clear" w:pos="8640"/>
        </w:tabs>
        <w:ind w:start="720" w:end="0"/>
        <w:rPr>
          <w:rFonts w:ascii="Arial Rounded MT Bold" w:hAnsi="Arial Rounded MT Bold" w:cs="Arial"/>
        </w:rPr>
      </w:pPr>
      <w:r>
        <w:rPr>
          <w:rFonts w:cs="Arial" w:ascii="Arial Rounded MT Bold" w:hAnsi="Arial Rounded MT Bold"/>
        </w:rPr>
      </w:r>
    </w:p>
    <w:p>
      <w:pPr>
        <w:pStyle w:val="Footer"/>
        <w:tabs>
          <w:tab w:val="clear" w:pos="4320"/>
          <w:tab w:val="clear" w:pos="8640"/>
        </w:tabs>
        <w:ind w:start="720" w:end="0"/>
        <w:rPr>
          <w:rFonts w:ascii="Arial Rounded MT Bold" w:hAnsi="Arial Rounded MT Bold" w:cs="Arial"/>
        </w:rPr>
      </w:pPr>
      <w:r>
        <w:rPr>
          <w:rFonts w:cs="Arial" w:ascii="Arial Rounded MT Bold" w:hAnsi="Arial Rounded MT Bold"/>
        </w:rPr>
        <w:tab/>
        <w:t>AND</w:t>
      </w:r>
    </w:p>
    <w:p>
      <w:pPr>
        <w:pStyle w:val="Footer"/>
        <w:tabs>
          <w:tab w:val="clear" w:pos="4320"/>
          <w:tab w:val="clear" w:pos="8640"/>
        </w:tabs>
        <w:ind w:start="720" w:end="0"/>
        <w:rPr>
          <w:rFonts w:ascii="Arial Rounded MT Bold" w:hAnsi="Arial Rounded MT Bold" w:cs="Arial"/>
        </w:rPr>
      </w:pPr>
      <w:r>
        <w:rPr>
          <w:rFonts w:cs="Arial" w:ascii="Arial Rounded MT Bold" w:hAnsi="Arial Rounded MT Bold"/>
        </w:rPr>
      </w:r>
    </w:p>
    <w:p>
      <w:pPr>
        <w:pStyle w:val="Footer"/>
        <w:tabs>
          <w:tab w:val="clear" w:pos="4320"/>
          <w:tab w:val="clear" w:pos="8640"/>
        </w:tabs>
        <w:ind w:start="720" w:end="0"/>
        <w:rPr>
          <w:rFonts w:ascii="Arial Rounded MT Bold" w:hAnsi="Arial Rounded MT Bold" w:cs="Arial"/>
        </w:rPr>
      </w:pPr>
      <w:r>
        <w:rPr>
          <w:rFonts w:cs="Arial" w:ascii="Arial Rounded MT Bold" w:hAnsi="Arial Rounded MT Bold"/>
        </w:rPr>
        <w:t>-&gt; The CLEC is subject to random ILEC audits to ensure that it is meeting these requirements.</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Rounded MT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upperRoman"/>
      <w:lvlText w:val="%1."/>
      <w:lvlJc w:val="start"/>
      <w:pPr>
        <w:tabs>
          <w:tab w:val="num" w:pos="1080"/>
        </w:tabs>
        <w:ind w:start="1080" w:hanging="72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2"/>
      <w:numFmt w:val="bullet"/>
      <w:lvlText w:val=""/>
      <w:lvlJc w:val="start"/>
      <w:pPr>
        <w:tabs>
          <w:tab w:val="num" w:pos="2880"/>
        </w:tabs>
        <w:ind w:start="2880" w:hanging="360"/>
      </w:pPr>
      <w:rPr>
        <w:rFonts w:ascii="Wingdings" w:hAnsi="Wingdings" w:cs="Wingdings" w:hint="default"/>
      </w:rPr>
    </w:lvl>
    <w:lvl w:ilvl="4">
      <w:start w:val="1"/>
      <w:numFmt w:val="upperRoman"/>
      <w:lvlText w:val="%5."/>
      <w:lvlJc w:val="start"/>
      <w:pPr>
        <w:tabs>
          <w:tab w:val="num" w:pos="3960"/>
        </w:tabs>
        <w:ind w:start="3960" w:hanging="720"/>
      </w:pPr>
      <w:rPr/>
    </w:lvl>
    <w:lvl w:ilvl="5">
      <w:start w:val="1"/>
      <w:numFmt w:val="decimal"/>
      <w:lvlText w:val="(%6)"/>
      <w:lvlJc w:val="start"/>
      <w:pPr>
        <w:tabs>
          <w:tab w:val="num" w:pos="4515"/>
        </w:tabs>
        <w:ind w:start="4515" w:hanging="375"/>
      </w:pPr>
      <w:rPr/>
    </w:lvl>
    <w:lvl w:ilvl="6">
      <w:start w:val="1"/>
      <w:numFmt w:val="lowerRoman"/>
      <w:lvlText w:val="(%7)"/>
      <w:lvlJc w:val="start"/>
      <w:pPr>
        <w:tabs>
          <w:tab w:val="num" w:pos="5400"/>
        </w:tabs>
        <w:ind w:start="5400" w:hanging="720"/>
      </w:pPr>
      <w:r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3z1">
    <w:name w:val="WW8Num3z1"/>
    <w:qFormat/>
    <w:rPr>
      <w:rFonts w:ascii="Symbol" w:hAnsi="Symbol" w:cs="Symbol"/>
    </w:rPr>
  </w:style>
  <w:style w:type="character" w:styleId="WW8Num3z3">
    <w:name w:val="WW8Num3z3"/>
    <w:qFormat/>
    <w:rPr>
      <w:rFonts w:ascii="Wingdings" w:hAnsi="Wingdings" w:eastAsia="Times New Roman" w:cs="Arial"/>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eastAsia="Times New Roman"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Rounded MT Bold" w:hAnsi="Arial Rounded MT Bold" w:cs="Arial"/>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rFonts w:ascii="Arial Rounded MT Bold" w:hAnsi="Arial Rounded MT Bold"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2001-02-22T15:05:00Z</dcterms:created>
  <dc:creator>lleibman</dc:creator>
  <dc:description/>
  <dc:language>en-CA</dc:language>
  <cp:lastModifiedBy>lleibman</cp:lastModifiedBy>
  <cp:lastPrinted>2001-02-23T10:08:00Z</cp:lastPrinted>
  <dcterms:modified xsi:type="dcterms:W3CDTF">2001-02-23T15:57:00Z</dcterms:modified>
  <cp:revision>35</cp:revision>
  <dc:subject/>
  <dc:title>INTERCONNECTION AGREEMENTS: FORM AND SUBSTANCE</dc:title>
</cp:coreProperties>
</file>