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wmf" ContentType="image/x-wmf"/>
  <Override PartName="/word/header1.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0" w:after="480"/>
        <w:jc w:val="center"/>
        <w:rPr>
          <w:outline/>
          <w:shadow/>
        </w:rPr>
      </w:pPr>
      <w:r>
        <w:rPr>
          <w:outline/>
          <w:shadow/>
          <w:sz w:val="20"/>
        </w:rPr>
        <mc:AlternateContent>
          <mc:Choice Requires="wps">
            <w:drawing>
              <wp:anchor behindDoc="0" distT="0" distB="0" distL="114935" distR="114935" simplePos="0" locked="0" layoutInCell="1" allowOverlap="1" relativeHeight="3">
                <wp:simplePos x="0" y="0"/>
                <wp:positionH relativeFrom="column">
                  <wp:posOffset>4891405</wp:posOffset>
                </wp:positionH>
                <wp:positionV relativeFrom="paragraph">
                  <wp:posOffset>-914400</wp:posOffset>
                </wp:positionV>
                <wp:extent cx="3201035" cy="92075"/>
                <wp:effectExtent l="0" t="0" r="0" b="0"/>
                <wp:wrapNone/>
                <wp:docPr id="1" name=""/>
                <a:graphic xmlns:a="http://schemas.openxmlformats.org/drawingml/2006/main">
                  <a:graphicData uri="http://schemas.microsoft.com/office/word/2010/wordprocessingShape">
                    <wps:wsp>
                      <wps:cNvSpPr/>
                      <wps:spPr>
                        <a:xfrm flipH="1">
                          <a:off x="0" y="0"/>
                          <a:ext cx="3201120" cy="92160"/>
                        </a:xfrm>
                        <a:prstGeom prst="line">
                          <a:avLst/>
                        </a:prstGeom>
                        <a:ln w="0">
                          <a:noFill/>
                        </a:ln>
                      </wps:spPr>
                      <wps:style>
                        <a:lnRef idx="0"/>
                        <a:fillRef idx="0"/>
                        <a:effectRef idx="0"/>
                        <a:fontRef idx="minor"/>
                      </wps:style>
                      <wps:bodyPr/>
                    </wps:wsp>
                  </a:graphicData>
                </a:graphic>
              </wp:anchor>
            </w:drawing>
          </mc:Choice>
          <mc:Fallback>
            <w:pict>
              <v:line id="shape_0" from="385.15pt,-72pt" to="637.15pt,-64.8pt" stroked="f" o:allowincell="f" style="position:absolute;flip:x">
                <v:stroke color="#3465a4" joinstyle="round" endcap="flat"/>
                <v:fill o:detectmouseclick="t" on="false"/>
                <w10:wrap type="none"/>
              </v:line>
            </w:pict>
          </mc:Fallback>
        </mc:AlternateContent>
        <w:drawing>
          <wp:inline distT="0" distB="0" distL="0" distR="0">
            <wp:extent cx="2635885" cy="1154430"/>
            <wp:effectExtent l="0" t="0" r="10160" b="10160"/>
            <wp:docPr id="2"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 descr="" title=""/>
                    <pic:cNvPicPr>
                      <a:picLocks noChangeAspect="1" noChangeArrowheads="1"/>
                    </pic:cNvPicPr>
                  </pic:nvPicPr>
                  <pic:blipFill>
                    <a:blip r:embed="rId2"/>
                    <a:stretch>
                      <a:fillRect/>
                    </a:stretch>
                  </pic:blipFill>
                  <pic:spPr bwMode="auto">
                    <a:xfrm>
                      <a:off x="0" y="0"/>
                      <a:ext cx="2646045" cy="1164590"/>
                    </a:xfrm>
                    <a:prstGeom prst="rect">
                      <a:avLst/>
                    </a:prstGeom>
                    <a:noFill/>
                    <a:ln w="9525">
                      <a:solidFill>
                        <a:srgbClr val="000000"/>
                      </a:solidFill>
                    </a:ln>
                    <a:effectLst>
                      <a:outerShdw dist="13970" dir="2700000">
                        <a:srgbClr val="000000"/>
                      </a:outerShdw>
                    </a:effectLst>
                  </pic:spPr>
                </pic:pic>
              </a:graphicData>
            </a:graphic>
          </wp:inline>
        </w:drawing>
      </w:r>
    </w:p>
    <w:p>
      <w:pPr>
        <w:pStyle w:val="Normal"/>
        <w:rPr/>
      </w:pPr>
      <w:r>
        <w:rPr/>
        <w:t>To:</w:t>
        <w:tab/>
        <w:t>Jeff Dasovich</w:t>
      </w:r>
    </w:p>
    <w:p>
      <w:pPr>
        <w:pStyle w:val="Normal"/>
        <w:spacing w:before="0" w:after="240"/>
        <w:rPr/>
      </w:pPr>
      <w:r>
        <w:rPr/>
        <w:tab/>
        <w:t>Enron Broadband Services, Inc.</w:t>
      </w:r>
    </w:p>
    <w:p>
      <w:pPr>
        <w:pStyle w:val="Normal"/>
        <w:rPr/>
      </w:pPr>
      <w:r>
        <w:rPr/>
        <w:t>From:</w:t>
        <w:tab/>
        <w:t>Stephen P. Bowen</w:t>
      </w:r>
    </w:p>
    <w:p>
      <w:pPr>
        <w:pStyle w:val="Normal"/>
        <w:spacing w:before="0" w:after="240"/>
        <w:rPr/>
      </w:pPr>
      <w:r>
        <w:rPr/>
        <w:tab/>
        <w:t>Jeremy A. Meier</w:t>
      </w:r>
    </w:p>
    <w:p>
      <w:pPr>
        <w:pStyle w:val="Normal"/>
        <w:spacing w:before="0" w:after="240"/>
        <w:rPr/>
      </w:pPr>
      <w:r>
        <w:rPr/>
        <w:t>Date:</w:t>
        <w:tab/>
        <w:t>January 2, 2001</w:t>
      </w:r>
    </w:p>
    <w:p>
      <w:pPr>
        <w:pStyle w:val="Normal"/>
        <w:spacing w:before="0" w:after="480"/>
        <w:rPr/>
      </w:pPr>
      <w:r>
        <w:rPr/>
        <w:t>Re:</w:t>
        <w:tab/>
      </w:r>
      <w:r>
        <w:rPr>
          <w:i/>
          <w:iCs/>
        </w:rPr>
        <w:t>Interconnection Agreements</w:t>
      </w:r>
    </w:p>
    <w:p>
      <w:pPr>
        <w:pStyle w:val="Heading1"/>
        <w:ind w:hanging="0" w:start="0"/>
        <w:rPr/>
      </w:pPr>
      <w:r>
        <w:rPr/>
        <w:t>introduction</w:t>
      </w:r>
    </w:p>
    <w:p>
      <w:pPr>
        <w:pStyle w:val="BodyText"/>
        <w:rPr/>
      </w:pPr>
      <w:r>
        <w:rPr/>
        <w:t>In order to provide data services to end users, whether business or residential, it is necessary to connect the end-user’s premises with a carrier’s own data facilities.  For Competitive Local Exchange Carriers (“CLECs”), it is often most efficient and affordable to use the “local loop” and network owned by the incumbent local exchange carrier (“ILEC”), rather than deploying new CLEC-owned outside plant facilities.  An interconnection agreement (“ICA”) is the standard means for gaining necessary access to the ILEC’s network and unbundled network elements (“UNEs”).</w:t>
      </w:r>
    </w:p>
    <w:p>
      <w:pPr>
        <w:pStyle w:val="BodyText"/>
        <w:rPr/>
      </w:pPr>
      <w:r>
        <w:rPr/>
        <w:t>The local loop consists of the copper and fiber facilities that connect a customer’s premises to the local phone company’s central office and enable the customer to make and receive telephone calls, and send and receive data.  Until 1996 the local loop was used exclusively by the ILECs who owned those facilities.  The Telecommunications Act of 1996 (“the Act”) requires ILECs such as the regional Bell companies (“RBOCs”), GTE (now Verizon), and Sprint to unbundle their networks and offer them to CLECs.</w:t>
      </w:r>
    </w:p>
    <w:p>
      <w:pPr>
        <w:pStyle w:val="BodyText"/>
        <w:rPr/>
      </w:pPr>
      <w:r>
        <w:rPr/>
        <w:t>The significance of this for data carriers is that the data service provider needs generally to access the local loop in order to efficiently and affordably reach end-user customers.  A CLEC can “access” the ILEC-owned local loop by either purchasing and reselling to end-users the ILEC’s services, or purchasing unbundled network elements.</w:t>
      </w:r>
      <w:r>
        <w:rPr>
          <w:rStyle w:val="FootnoteCharacters"/>
          <w:rStyle w:val="FootnoteReference"/>
        </w:rPr>
        <w:footnoteReference w:id="2"/>
      </w:r>
    </w:p>
    <w:p>
      <w:pPr>
        <w:pStyle w:val="BodyText"/>
        <w:rPr/>
      </w:pPr>
      <w:r>
        <w:rPr/>
        <w:t xml:space="preserve">Enron Telecommunications, Inc. (“ETI”, the CLEC in California) can gain necessary access to ILEC networks and UNEs by entering into an ICA.  Essentially, ETI can either negotiate, arbitrate, or adopt an ICA (using the approaches discussed below).  Newer CLECs often choose to “adopt” in total a previously approved ICA between the incumbent and an established CLEC like AT&amp;T or MCI (now WorldCom).  </w:t>
      </w:r>
    </w:p>
    <w:p>
      <w:pPr>
        <w:pStyle w:val="Heading2"/>
        <w:ind w:hanging="0" w:start="0"/>
        <w:rPr/>
      </w:pPr>
      <w:r>
        <w:rPr/>
        <w:t>Legal Framework</w:t>
      </w:r>
    </w:p>
    <w:p>
      <w:pPr>
        <w:pStyle w:val="BodyText"/>
        <w:rPr/>
      </w:pPr>
      <w:r>
        <w:rPr/>
        <w:t>The legal framework for interconnection with an ILEC is set out in the Act.</w:t>
      </w:r>
      <w:r>
        <w:rPr>
          <w:rStyle w:val="FootnoteCharacters"/>
          <w:rStyle w:val="FootnoteReference"/>
        </w:rPr>
        <w:footnoteReference w:id="3"/>
      </w:r>
      <w:r>
        <w:rPr/>
        <w:t xml:space="preserve">  The Act requires ILECs to give network access to any and all requesting carriers on a nondiscriminatory basis, at rates that are just, reasonable, and nondiscriminatory.</w:t>
      </w:r>
      <w:r>
        <w:rPr>
          <w:rStyle w:val="FootnoteCharacters"/>
          <w:rStyle w:val="FootnoteReference"/>
        </w:rPr>
        <w:footnoteReference w:id="4"/>
      </w:r>
      <w:r>
        <w:rPr/>
        <w:t xml:space="preserve">  An ILEC must permit access to its network at any technically feasible point.</w:t>
      </w:r>
      <w:r>
        <w:rPr>
          <w:rStyle w:val="FootnoteCharacters"/>
          <w:rStyle w:val="FootnoteReference"/>
        </w:rPr>
        <w:footnoteReference w:id="5"/>
      </w:r>
      <w:r>
        <w:rPr/>
        <w:t xml:space="preserve">  Congress gave the Federal Communications Commission (“FCC”) the authority to implement the provisions of the Act through its rulemaking and adjudicatory functions.</w:t>
      </w:r>
      <w:r>
        <w:rPr>
          <w:rStyle w:val="FootnoteCharacters"/>
          <w:rStyle w:val="FootnoteReference"/>
        </w:rPr>
        <w:footnoteReference w:id="6"/>
      </w:r>
      <w:r>
        <w:rPr/>
        <w:t xml:space="preserve">  State utility commissions also have a role in acting as arbitrators between ILECs and CLECs on interconnection issues, setting rates, and approving interconnection agreements.</w:t>
      </w:r>
      <w:r>
        <w:rPr>
          <w:rStyle w:val="FootnoteCharacters"/>
          <w:rStyle w:val="FootnoteReference"/>
        </w:rPr>
        <w:footnoteReference w:id="7"/>
      </w:r>
      <w:r>
        <w:rPr/>
        <w:t xml:space="preserve">  The role of state commissions has been critical to either enhancing or discouraging competition, particularly since states arbitrate the setting of prices for unbundled network elements and collocation.  The fact that fifty different state commissions have jurisdiction over the pricing has resulted in varying rate results from state to state.</w:t>
      </w:r>
    </w:p>
    <w:p>
      <w:pPr>
        <w:pStyle w:val="Heading3"/>
        <w:ind w:hanging="0" w:start="0"/>
        <w:rPr/>
      </w:pPr>
      <w:r>
        <w:rPr/>
        <w:t>Nondiscriminatory access.</w:t>
      </w:r>
    </w:p>
    <w:p>
      <w:pPr>
        <w:pStyle w:val="BodyText"/>
        <w:rPr/>
      </w:pPr>
      <w:r>
        <w:rPr/>
        <w:t>Nondiscriminatory access means that an ILEC must give the same access to CLECs that it gives to itself,</w:t>
      </w:r>
      <w:r>
        <w:rPr>
          <w:rStyle w:val="FootnoteCharacters"/>
          <w:rStyle w:val="FootnoteReference"/>
        </w:rPr>
        <w:footnoteReference w:id="8"/>
      </w:r>
      <w:r>
        <w:rPr/>
        <w:t xml:space="preserve"> or to one of its affiliates.  Essentially, therefore, all CLECs must be treated exactly the same.  For instance, PacBell could not enter into an agreement with AT&amp;T that gave AT&amp;T preferential treatment over another CLEC, such as MCI or Covad.</w:t>
      </w:r>
    </w:p>
    <w:p>
      <w:pPr>
        <w:pStyle w:val="Heading3"/>
        <w:ind w:hanging="0" w:start="0"/>
        <w:rPr/>
      </w:pPr>
      <w:r>
        <w:rPr/>
        <w:t>Just, Reasonable, and Nondiscriminatory Rates.</w:t>
      </w:r>
    </w:p>
    <w:p>
      <w:pPr>
        <w:pStyle w:val="BodyText"/>
        <w:rPr/>
      </w:pPr>
      <w:r>
        <w:rPr/>
        <w:t>The Act requires that rates for access to telecommunications networks be based on the cost of providing the interconnection.</w:t>
      </w:r>
      <w:r>
        <w:rPr>
          <w:rStyle w:val="FootnoteCharacters"/>
          <w:rStyle w:val="FootnoteReference"/>
        </w:rPr>
        <w:footnoteReference w:id="9"/>
      </w:r>
      <w:r>
        <w:rPr/>
        <w:t xml:space="preserve">  The FCC has determined that where a CLEC resells the ILEC’s service, the CLEC should be allowed to purchase the service at the retail rate, less the avoided costs associated with marketing (the wholesale discount rate).</w:t>
      </w:r>
      <w:r>
        <w:rPr>
          <w:rStyle w:val="FootnoteCharacters"/>
          <w:rStyle w:val="FootnoteReference"/>
        </w:rPr>
        <w:footnoteReference w:id="10"/>
      </w:r>
      <w:r>
        <w:rPr/>
        <w:t xml:space="preserve">  The FCC has determined that prices for unbundled network elements should be based on the total element long run incremental cost (“TELRIC”) to the ILEC to provide the elements.</w:t>
      </w:r>
      <w:r>
        <w:rPr>
          <w:rStyle w:val="FootnoteCharacters"/>
          <w:rStyle w:val="FootnoteReference"/>
        </w:rPr>
        <w:footnoteReference w:id="11"/>
      </w:r>
      <w:r>
        <w:rPr/>
        <w:t xml:space="preserve">  This costing standard is in some dispute pending the 8</w:t>
      </w:r>
      <w:r>
        <w:rPr>
          <w:vertAlign w:val="superscript"/>
        </w:rPr>
        <w:t>th</w:t>
      </w:r>
      <w:r>
        <w:rPr/>
        <w:t xml:space="preserve"> Circuit’s recent decision, in </w:t>
      </w:r>
      <w:r>
        <w:rPr>
          <w:i/>
          <w:iCs/>
        </w:rPr>
        <w:t>AT&amp;T v. Iowa Board of Utilities</w:t>
      </w:r>
      <w:r>
        <w:rPr/>
        <w:t xml:space="preserve">, to strike TELRIC costing, but that decision has been stayed, and for the time being TELRIC remains the standard costing methodology employed by states. </w:t>
      </w:r>
    </w:p>
    <w:p>
      <w:pPr>
        <w:pStyle w:val="Heading2"/>
        <w:ind w:hanging="0" w:start="0"/>
        <w:rPr/>
      </w:pPr>
      <w:r>
        <w:rPr/>
        <w:t>Means of Interconnecting.</w:t>
      </w:r>
    </w:p>
    <w:p>
      <w:pPr>
        <w:pStyle w:val="Heading3"/>
        <w:ind w:hanging="0" w:start="0"/>
        <w:rPr/>
      </w:pPr>
      <w:r>
        <w:rPr/>
        <w:t>Resale.</w:t>
      </w:r>
    </w:p>
    <w:p>
      <w:pPr>
        <w:pStyle w:val="BodyText"/>
        <w:rPr/>
      </w:pPr>
      <w:r>
        <w:rPr/>
        <w:t>Resale consists of purchasing the ILEC’s service (such as local phone service, or DSL service) at a discount and reselling the service to end-users.  Resale is the quickest means of entering the market because the CLEC needs no facilities of its own.  However, for most companies the wholesale discount rate is inadequate to make resale an efficient long-term strategy for providing service, and resale does not deliver UNEs to the CLEC.  The discount rates vary from state to state and even from ICA to ICA.  In some states the discount is 15% or less; in others it exceeds 20%.</w:t>
      </w:r>
    </w:p>
    <w:p>
      <w:pPr>
        <w:pStyle w:val="Heading3"/>
        <w:ind w:hanging="0" w:start="0"/>
        <w:rPr/>
      </w:pPr>
      <w:r>
        <w:rPr/>
        <w:t>Purchase of Unbundled Network Elements (“UNEs”).</w:t>
      </w:r>
    </w:p>
    <w:p>
      <w:pPr>
        <w:pStyle w:val="BodyText"/>
        <w:rPr/>
      </w:pPr>
      <w:r>
        <w:rPr/>
        <w:t>The Act requires ILECs to “unbundle” their networks and lease the elements separately to CLECs.</w:t>
      </w:r>
      <w:r>
        <w:rPr>
          <w:rStyle w:val="FootnoteCharacters"/>
          <w:rStyle w:val="FootnoteReference"/>
        </w:rPr>
        <w:footnoteReference w:id="12"/>
      </w:r>
      <w:r>
        <w:rPr/>
        <w:t xml:space="preserve">  This permits CLECs to lease only the elements they need and install their own facilities, such as switches and DSLAMs, to the extent they wish to do so.  Again, the prices vary from state to state and from ICA to ICA.  However, most CLECs find UNE prices more advantageous than resale prices.  </w:t>
      </w:r>
    </w:p>
    <w:p>
      <w:pPr>
        <w:pStyle w:val="BodyText"/>
        <w:rPr/>
      </w:pPr>
      <w:r>
        <w:rPr/>
        <w:t>The Act requires unbundling of the elements that are necessary to, or the unavailability of which would impair a CLECs ability to, provide services.</w:t>
      </w:r>
      <w:r>
        <w:rPr>
          <w:rStyle w:val="FootnoteCharacters"/>
          <w:rStyle w:val="FootnoteReference"/>
        </w:rPr>
        <w:footnoteReference w:id="13"/>
      </w:r>
      <w:r>
        <w:rPr/>
        <w:t xml:space="preserve">  The FCC established a “national list” of UNEs that ILECs must make available at TELRIC-based prices.</w:t>
      </w:r>
      <w:r>
        <w:rPr>
          <w:rStyle w:val="FootnoteCharacters"/>
          <w:rStyle w:val="FootnoteReference"/>
        </w:rPr>
        <w:footnoteReference w:id="14"/>
      </w:r>
      <w:r>
        <w:rPr/>
        <w:t xml:space="preserve">  The list includes the local loop and subloops, the network interface device (connecting telecommunications facilities to the end-user’s premises), local switching, interoffice transmission facilities, signaling networks and call-related databases, Operation Support Systems (“OSS”), operator services, and directory assistance.</w:t>
      </w:r>
      <w:r>
        <w:rPr>
          <w:rStyle w:val="FootnoteCharacters"/>
          <w:rStyle w:val="FootnoteReference"/>
        </w:rPr>
        <w:footnoteReference w:id="15"/>
      </w:r>
      <w:r>
        <w:rPr/>
        <w:t xml:space="preserve">  </w:t>
      </w:r>
    </w:p>
    <w:p>
      <w:pPr>
        <w:pStyle w:val="BodyText"/>
        <w:rPr/>
      </w:pPr>
      <w:r>
        <w:rPr/>
        <w:t>Recently the FCC identified an additional element, the high frequency portion of the loop.</w:t>
      </w:r>
      <w:r>
        <w:rPr>
          <w:rStyle w:val="FootnoteCharacters"/>
          <w:rStyle w:val="FootnoteReference"/>
        </w:rPr>
        <w:footnoteReference w:id="16"/>
      </w:r>
      <w:r>
        <w:rPr/>
        <w:t xml:space="preserve">  It is technically feasible to provide both voice and data traffic over the same copper pair.  Providers of DSL service are now permitted to lease as an unbundled network element the high frequency portion of the loop and provide data over a copper local loop in a line sharing arrangement with the ILEC providing the voice service.  The traffic is carried over copper to a remote terminal or central office where a spectrum splitter divides the higher frequency data traffic from the voice traffic and routes the traffic to the ILEC and the data CLEC respectively.  CLECs are currently involved in various proceedings that would expand their line sharing rights into situations where a CLEC is the voice provider and into situations covering SBC’s new Project Pronto fiber-fed architecture.</w:t>
      </w:r>
      <w:r>
        <w:rPr>
          <w:rStyle w:val="FootnoteCharacters"/>
          <w:rStyle w:val="FootnoteReference"/>
        </w:rPr>
        <w:footnoteReference w:id="17"/>
      </w:r>
    </w:p>
    <w:p>
      <w:pPr>
        <w:pStyle w:val="BodyText"/>
        <w:rPr/>
      </w:pPr>
      <w:r>
        <w:rPr/>
        <w:t>The Act and FCC rules also permit state commissions to add elements to the list of those that must be made available,</w:t>
      </w:r>
      <w:r>
        <w:rPr>
          <w:rStyle w:val="FootnoteCharacters"/>
          <w:rStyle w:val="FootnoteReference"/>
        </w:rPr>
        <w:footnoteReference w:id="18"/>
      </w:r>
      <w:r>
        <w:rPr/>
        <w:t xml:space="preserve"> although this process is strongly contested by ILECs.  SBC’s introduction of its new Project Pronto network architecture (bringing fiber closer to end-user premises) has spawned considerable litigation in this area.</w:t>
      </w:r>
    </w:p>
    <w:p>
      <w:pPr>
        <w:pStyle w:val="Heading4"/>
        <w:ind w:hanging="0" w:start="0"/>
        <w:rPr/>
      </w:pPr>
      <w:r>
        <w:rPr/>
        <w:t>Collocation.</w:t>
      </w:r>
    </w:p>
    <w:p>
      <w:pPr>
        <w:pStyle w:val="BodyText"/>
        <w:rPr/>
      </w:pPr>
      <w:r>
        <w:rPr/>
        <w:t>Many CLECs use a combination of their own facilities and leased UNEs to provide service to end-users.  The Act requires ILECs to permit CLECs to collocate equipment necessary for interconnection or access to UNEs on the ILECs premises.</w:t>
      </w:r>
      <w:r>
        <w:rPr>
          <w:rStyle w:val="FootnoteCharacters"/>
          <w:rStyle w:val="FootnoteReference"/>
        </w:rPr>
        <w:footnoteReference w:id="19"/>
      </w:r>
      <w:r>
        <w:rPr/>
        <w:t xml:space="preserve">  For instance, a CLEC may collocate a switch at an ILEC central office and lease the UNEs necessary to reach the customer.  Collocation can be physical or virtual, and caged or cageless.  Prices for collocation can vary significantly from state to state.  California collocation rates are the subject of an ongoing proceeding at the California Public Utilities Commission (“CPUC”) and new rates are anticipated in the near future.</w:t>
      </w:r>
    </w:p>
    <w:p>
      <w:pPr>
        <w:pStyle w:val="Heading4"/>
        <w:ind w:hanging="0" w:start="0"/>
        <w:rPr/>
      </w:pPr>
      <w:r>
        <w:rPr/>
        <w:t>UNE-P</w:t>
      </w:r>
    </w:p>
    <w:p>
      <w:pPr>
        <w:pStyle w:val="BodyText"/>
        <w:rPr/>
      </w:pPr>
      <w:r>
        <w:rPr/>
        <w:t>UNE-P refers to the so-called Unbundled Network Element “Platform.”  Implementation by the CLEC of a UNE-P strategy allows the CLEC to combine UNEs and offer their own telecommunications services without breaking apart and recombining the network elements serving current ILEC customers.  Essentially, the CLEC gains access to the entire network facility from central office to customer premises, but only pays individual UNE prices for the elements, rather than resale prices.</w:t>
      </w:r>
    </w:p>
    <w:p>
      <w:pPr>
        <w:pStyle w:val="Heading1"/>
        <w:ind w:hanging="0" w:start="0"/>
        <w:rPr/>
      </w:pPr>
      <w:r>
        <w:rPr/>
        <w:t>METHODS OF OBTAINING INTERCONNECTION</w:t>
      </w:r>
    </w:p>
    <w:p>
      <w:pPr>
        <w:pStyle w:val="BodyText"/>
        <w:rPr/>
      </w:pPr>
      <w:r>
        <w:rPr/>
        <w:t>Congress intended the Act to foster a relatively cooperative competitive environment in which companies would freely negotiate interconnection agreements, and that only issues on which they could not agree would be arbitrated before state public utility commissions.</w:t>
      </w:r>
      <w:r>
        <w:rPr>
          <w:rStyle w:val="FootnoteCharacters"/>
          <w:rStyle w:val="FootnoteReference"/>
        </w:rPr>
        <w:footnoteReference w:id="20"/>
      </w:r>
      <w:r>
        <w:rPr/>
        <w:t xml:space="preserve">  In practice, though, interconnection negotiations have proven to be more complicated and often contentious, and arbitration and litigation have been commonplace, especially amongst the larger carriers.  ILECs can be resistant to the process, and impede negotiations by their own interpretations and corporate interconnection policies.  </w:t>
      </w:r>
    </w:p>
    <w:p>
      <w:pPr>
        <w:pStyle w:val="BodyText"/>
        <w:rPr/>
      </w:pPr>
      <w:r>
        <w:rPr/>
        <w:t>A CLEC may gain interconnection with an ILEC and access to UNEs by negotiating an agreement, by submitting an agreement to arbitration, by opting into an agreement already in place, by using the “pick and choose” method of selecting terms from existing agreements, or by accepting the terms of a generic agreement provided by the ILEC.</w:t>
      </w:r>
    </w:p>
    <w:p>
      <w:pPr>
        <w:pStyle w:val="Heading2"/>
        <w:ind w:hanging="0" w:start="0"/>
        <w:rPr/>
      </w:pPr>
      <w:r>
        <w:rPr/>
        <w:t>Negotiation.</w:t>
      </w:r>
    </w:p>
    <w:p>
      <w:pPr>
        <w:pStyle w:val="BodyText"/>
        <w:rPr/>
      </w:pPr>
      <w:r>
        <w:rPr/>
        <w:t>CLECs normally begin the interconnection process in a negotiation mode.  Many of the issues that affect interconnection have already been arbitrated, litigated, and definitively settled since the Act first became effective, thereby facilitating interconnection for new entrants.  A CLEC begins the process by requesting interconnection with the ILEC in writing.</w:t>
      </w:r>
      <w:r>
        <w:rPr>
          <w:rStyle w:val="FootnoteCharacters"/>
          <w:rStyle w:val="FootnoteReference"/>
        </w:rPr>
        <w:footnoteReference w:id="21"/>
      </w:r>
      <w:r>
        <w:rPr/>
        <w:t xml:space="preserve">  By requesting interconnection the CLEC puts into motion the statutory time frame that applies to arbitration.  A CLEC may request arbitration of disputed issues during the time between the 135</w:t>
      </w:r>
      <w:r>
        <w:rPr>
          <w:vertAlign w:val="superscript"/>
        </w:rPr>
        <w:t>th</w:t>
      </w:r>
      <w:r>
        <w:rPr/>
        <w:t xml:space="preserve"> and 160</w:t>
      </w:r>
      <w:r>
        <w:rPr>
          <w:vertAlign w:val="superscript"/>
        </w:rPr>
        <w:t>th</w:t>
      </w:r>
      <w:r>
        <w:rPr/>
        <w:t xml:space="preserve"> days after the written request for interconnection.</w:t>
      </w:r>
      <w:r>
        <w:rPr>
          <w:rStyle w:val="FootnoteCharacters"/>
          <w:rStyle w:val="FootnoteReference"/>
        </w:rPr>
        <w:footnoteReference w:id="22"/>
      </w:r>
    </w:p>
    <w:p>
      <w:pPr>
        <w:pStyle w:val="Heading2"/>
        <w:ind w:hanging="0" w:start="0"/>
        <w:rPr/>
      </w:pPr>
      <w:r>
        <w:rPr/>
        <w:t>Arbitration.</w:t>
      </w:r>
    </w:p>
    <w:p>
      <w:pPr>
        <w:pStyle w:val="BodyText"/>
        <w:rPr/>
      </w:pPr>
      <w:r>
        <w:rPr/>
        <w:t>Although many CLECs have entered into agreements drafted primarily by the ILEC and generally favorable to the ILEC, arbitrated agreements provide terms that are more advantageous to CLECs.  The major CLECs (e.g., AT&amp;T, MCI, Sprint) will incur the time and expense involved in submitting disputed contract issues to state commissions for arbitration.  The Act also provides for mediation of disputes,</w:t>
      </w:r>
      <w:r>
        <w:rPr>
          <w:rStyle w:val="FootnoteCharacters"/>
          <w:rStyle w:val="FootnoteReference"/>
        </w:rPr>
        <w:footnoteReference w:id="23"/>
      </w:r>
      <w:r>
        <w:rPr/>
        <w:t xml:space="preserve"> but few companies have used mediation successfully in this context.  </w:t>
      </w:r>
    </w:p>
    <w:p>
      <w:pPr>
        <w:pStyle w:val="BodyText"/>
        <w:rPr/>
      </w:pPr>
      <w:r>
        <w:rPr/>
        <w:t>When parties submit an interconnection agreement to arbitration, the state commission has a limited time in which to act.</w:t>
      </w:r>
      <w:r>
        <w:rPr>
          <w:rStyle w:val="FootnoteCharacters"/>
          <w:rStyle w:val="FootnoteReference"/>
        </w:rPr>
        <w:footnoteReference w:id="24"/>
      </w:r>
      <w:r>
        <w:rPr/>
        <w:t xml:space="preserve">  The commission is required to resolve each disputed issue within nine months after the CLEC first requested interconnection, and will hold a formal arbitration (hearing between the parties) and issue a Decision.  The state commission will then approve the arbitrated terms and conditions of the ICA and it will be made available for adoption by other CLECs.</w:t>
      </w:r>
    </w:p>
    <w:p>
      <w:pPr>
        <w:pStyle w:val="Heading2"/>
        <w:ind w:hanging="0" w:start="0"/>
        <w:rPr/>
      </w:pPr>
      <w:r>
        <w:rPr/>
        <w:t>Adoption of an Existing Agreement</w:t>
      </w:r>
    </w:p>
    <w:p>
      <w:pPr>
        <w:pStyle w:val="BodyText"/>
        <w:rPr/>
      </w:pPr>
      <w:r>
        <w:rPr/>
        <w:t>An important outgrowth of the nondiscrimination provisions of the Act is that a CLEC may “opt-in” to any agreement already negotiated, or arbitrated, and approved by a state commission.  Many newcomers to the market choose to opt-in to an agreement already in place.  The agreements negotiated by one of the major players, particularly AT&amp;T, tend to be the most advantageous to CLECs.  Rather than initiate difficult line-by-line contract negotiations that may lead to a more complex arbitration, CLECs often review and select from the existing agreements in various states.  CLECs generally are required to take the entire ICA “as is,” with little or no room for negotiation.</w:t>
      </w:r>
    </w:p>
    <w:p>
      <w:pPr>
        <w:pStyle w:val="Heading2"/>
        <w:ind w:hanging="0" w:start="0"/>
        <w:rPr/>
      </w:pPr>
      <w:r>
        <w:rPr/>
        <w:t>Pick and Choose</w:t>
      </w:r>
    </w:p>
    <w:p>
      <w:pPr>
        <w:pStyle w:val="BodyText"/>
        <w:rPr/>
      </w:pPr>
      <w:r>
        <w:rPr/>
        <w:t xml:space="preserve">The FCC has determined that, because access to network elements must be nondiscriminatory, any CLEC could in theory adopt any particular contract term from an already approved agreement without adopting the entire agreement (i.e., “pick and choose” sections).  This concept, in reality, is difficult to use as most ILECs will rarely allow meaningful pick and choose negotiations.  It is controversial, but it has been litigated and upheld as theoretically valid.  In addition, CLECs may have certain rights to pick and choose ICAs from across certain SBC/Ameritech states, as part of the FCC’s Merger Conditions for SBC and Ameritech.  The actual use of such cross-state ICA selections has been rare, and in general CLECs can only adopt or potentially pick and choose ICAs from one given state.  </w:t>
      </w:r>
    </w:p>
    <w:p>
      <w:pPr>
        <w:pStyle w:val="Heading2"/>
        <w:ind w:hanging="0" w:start="0"/>
        <w:rPr/>
      </w:pPr>
      <w:r>
        <w:rPr/>
        <w:t>Statement of Generally Applicable Terms and Conditions</w:t>
      </w:r>
    </w:p>
    <w:p>
      <w:pPr>
        <w:pStyle w:val="BodyText"/>
        <w:rPr/>
      </w:pPr>
      <w:r>
        <w:rPr/>
        <w:t>The Act permits an ILEC to produce a Statement of Generally Applicable Terms and Conditions (“SGAT”) which is a generic interconnection agreement available to all takers.</w:t>
      </w:r>
      <w:r>
        <w:rPr>
          <w:rStyle w:val="FootnoteCharacters"/>
          <w:rStyle w:val="FootnoteReference"/>
        </w:rPr>
        <w:footnoteReference w:id="25"/>
      </w:r>
      <w:r>
        <w:rPr/>
        <w:t xml:space="preserve">  The ILEC has to submit its SGAT to the state commission for approval.</w:t>
      </w:r>
      <w:r>
        <w:rPr>
          <w:rStyle w:val="FootnoteCharacters"/>
          <w:rStyle w:val="FootnoteReference"/>
        </w:rPr>
        <w:footnoteReference w:id="26"/>
      </w:r>
      <w:r>
        <w:rPr/>
        <w:t xml:space="preserve">  Most CLECs prefer to adopt an arbitrated agreement rather than an ILEC’s SGAT because, even though the SGAT must comply with The Act, it was drafted in total by the ILEC and will be wholly to the ILEC’s advantage.  We generally prefer to avoid accepting the SGAT, except in certain rare cases.</w:t>
      </w:r>
    </w:p>
    <w:p>
      <w:pPr>
        <w:pStyle w:val="Heading1"/>
        <w:ind w:hanging="0" w:start="0"/>
        <w:rPr/>
      </w:pPr>
      <w:r>
        <w:rPr/>
        <w:t>CONTENTS OF AN INTERCONNECTION AGREEMENT</w:t>
      </w:r>
    </w:p>
    <w:p>
      <w:pPr>
        <w:pStyle w:val="BodyText"/>
        <w:rPr/>
      </w:pPr>
      <w:r>
        <w:rPr/>
        <w:t>Interconnection agreements ordinarily start with a section for General Terms and Conditions, followed by Appendices containing specific terms and rates applicable to Resale Services and UNEs.  The stronger agreements include a “Most Favored Nation,” or MFN, clause stating that the CLEC will receive notice and opportunity to adopt subsequent ILEC ICA terms and conditions.  Strong ICAs should reinforce the Act’s charge that parties will deal as favorably with one another as with themselves and their affiliates, and that no third party will receive more favorable treatment.  Most agreements will be effective only if the contracting CLEC has already obtained all necessary state commission authority (such as a Certificate of Public Convenience and Necessity).  Some agreements include a specific time frame established for obtaining such approvals to prevent the agreement from becoming ineffective.</w:t>
      </w:r>
    </w:p>
    <w:p>
      <w:pPr>
        <w:pStyle w:val="BodyText"/>
        <w:rPr/>
      </w:pPr>
      <w:r>
        <w:rPr/>
        <w:t>Most, if not all, interconnection agreements include Alternative Dispute Resolution provisions, and provisions addressing the issue of Confidential Customer Information.  Customer-specific information is protected by state and federal commission rules so the parties should agree to treat the information as confidential and permit no third party access.  A strong agreement will also address other basic issues such as product branding, unbranding (indicating no provider), and re-branding (with the CLEC’s identification).</w:t>
      </w:r>
    </w:p>
    <w:p>
      <w:pPr>
        <w:pStyle w:val="BodyText"/>
        <w:rPr/>
      </w:pPr>
      <w:r>
        <w:rPr/>
        <w:t>It is important to take note of the Term of the agreement and any Options for Extension.  These term provisions can vary widely from one agreement to another.  It is particularly important when adopting an existing agreement that the agreement still have a sufficient effective life, as may be determined by state commissions or ILEC corporate policy.  Further, the Liability provisions of interconnection agreements have been subject to considerable state commission litigation.  Accordingly, we recommend that CLECs review liability provisions of agreements carefully, especially when drafted by the ILEC and not done through arbitration.</w:t>
      </w:r>
    </w:p>
    <w:p>
      <w:pPr>
        <w:pStyle w:val="BodyText"/>
        <w:rPr/>
      </w:pPr>
      <w:r>
        <w:rPr>
          <w:u w:val="single"/>
        </w:rPr>
        <w:t>The Resale Appendix</w:t>
      </w:r>
      <w:r>
        <w:rPr/>
        <w:t>.  The Resale Appendix will set out the services available for resale and the applicable wholesale discount.  In most cases the wholesale discount was established by the state commission after arbitration and the amount of the discount varies from state to state.  Some services may be resold but no discount will actually apply—e.g., promotions that last less than 90 days, directory assistance, and lifeline services.</w:t>
      </w:r>
    </w:p>
    <w:p>
      <w:pPr>
        <w:pStyle w:val="BodyText"/>
        <w:rPr/>
      </w:pPr>
      <w:r>
        <w:rPr>
          <w:u w:val="single"/>
        </w:rPr>
        <w:t>The UNE Appendix</w:t>
      </w:r>
      <w:r>
        <w:rPr/>
        <w:t>.  The UNE Appendix will describe the UNEs offered and their prices.  UNE prices are established by state commissions after arbitration and vary from state to state.  This key Appendix will show the CLEC which UNEs it can purchase and at what rates.</w:t>
      </w:r>
    </w:p>
    <w:p>
      <w:pPr>
        <w:pStyle w:val="Heading1"/>
        <w:ind w:hanging="0" w:start="0"/>
        <w:rPr/>
      </w:pPr>
      <w:r>
        <w:rPr/>
        <w:t>STATE COMMISSION APPROVAL</w:t>
      </w:r>
    </w:p>
    <w:p>
      <w:pPr>
        <w:pStyle w:val="BodyText"/>
        <w:rPr/>
      </w:pPr>
      <w:r>
        <w:rPr/>
        <w:t>All interconnection agreements, including those negotiated without commission intervention and those simply adopted, must be approved by the state utility commission.</w:t>
      </w:r>
      <w:r>
        <w:rPr>
          <w:rStyle w:val="FootnoteCharacters"/>
          <w:rStyle w:val="FootnoteReference"/>
        </w:rPr>
        <w:footnoteReference w:id="27"/>
      </w:r>
      <w:r>
        <w:rPr/>
        <w:t xml:space="preserve">  The state commission can disapprove an agreement on somewhat limited grounds:  the agreement discriminates against non-party carriers; the agreement is inconsistent with the public interest, convenience, and necessity; or the agreement does not comply with §§ 251 and 252 of the Act.</w:t>
      </w:r>
      <w:r>
        <w:rPr>
          <w:rStyle w:val="FootnoteCharacters"/>
          <w:rStyle w:val="FootnoteReference"/>
        </w:rPr>
        <w:footnoteReference w:id="28"/>
      </w:r>
      <w:r>
        <w:rPr/>
        <w:t xml:space="preserve">  </w:t>
      </w:r>
    </w:p>
    <w:p>
      <w:pPr>
        <w:pStyle w:val="BodyText"/>
        <w:rPr/>
      </w:pPr>
      <w:r>
        <w:rPr/>
        <w:t>If the agreement was negotiated, the commission must approve or reject it within 90 days.  If the agreement was arbitrated, the commission has to approve or reject it within 30 days.  If the state commission fails to act the agreement is deemed approved.</w:t>
      </w:r>
      <w:r>
        <w:rPr>
          <w:rStyle w:val="FootnoteCharacters"/>
          <w:rStyle w:val="FootnoteReference"/>
        </w:rPr>
        <w:footnoteReference w:id="29"/>
      </w:r>
      <w:r>
        <w:rPr/>
        <w:t xml:space="preserve">  Generally, most ICAs will be approved by the state commissions, assuming the ICA presented complies with all pertinent commission rules and regulations.</w:t>
      </w:r>
    </w:p>
    <w:p>
      <w:pPr>
        <w:pStyle w:val="BodyText"/>
        <w:rPr/>
      </w:pPr>
      <w:r>
        <w:rPr/>
        <w:t>Each state may have varying particular regulations for executing and approving ICAs, though they will generally follow the same fundamental legal and regulatory principles.  For example, in California the CPUC’s Rule 7 allows for approval of an adopted ICA on the sixteenth day after the CLEC files appropriate Notice.  In other states, the ILEC must give Notice to the Commission.  There are other state-specific rules regarding ICAs that we will advise on as ICA state negotiations develop for ETI.</w:t>
      </w:r>
    </w:p>
    <w:p>
      <w:pPr>
        <w:pStyle w:val="Heading1"/>
        <w:ind w:hanging="0" w:start="0"/>
        <w:rPr/>
      </w:pPr>
      <w:r>
        <w:rPr/>
        <w:t>AMENDMENT OF INTERCONNECTION AGREEMENTS</w:t>
      </w:r>
    </w:p>
    <w:p>
      <w:pPr>
        <w:pStyle w:val="BodyText"/>
        <w:rPr/>
      </w:pPr>
      <w:r>
        <w:rPr/>
        <w:t>Interconnection agreements often require revision (formal “Amendments”) in order to adapt to changing legal requirements regarding technologies or services (e.g., a new UNE).  State commissions have jurisdiction over Amendments to interconnection agreements, and the procedures vary from state to state.  Generally, though, the parties negotiate an Amendment and submit it to the state commission for approval.  If the amendment process results in a dispute the parties may ask the state commission to arbitrate the disputed issue(s).</w:t>
      </w:r>
    </w:p>
    <w:p>
      <w:pPr>
        <w:pStyle w:val="Heading1"/>
        <w:ind w:hanging="0" w:start="0"/>
        <w:rPr/>
      </w:pPr>
      <w:r>
        <w:rPr/>
        <w:t>CONCLUSION</w:t>
      </w:r>
    </w:p>
    <w:p>
      <w:pPr>
        <w:pStyle w:val="BodyText"/>
        <w:rPr/>
      </w:pPr>
      <w:r>
        <w:rPr/>
        <w:t>Enron Broadband Services, Inc., and its regulated CLEC entity ETI in California, can gain access to ILEC networks and UNEs through the execution of interconnection agreements under the Act.  Many CLECs choose to “adopt” existing approved ICAs as the most cost efficient and effective method for securing sound terms and conditions for interconnection.  The company can also elect to engage in full negotiations and/or arbitration under the Act, if its specific business needs cannot otherwise be met.</w:t>
      </w:r>
    </w:p>
    <w:p>
      <w:pPr>
        <w:pStyle w:val="BodyText"/>
        <w:spacing w:before="0" w:after="240"/>
        <w:ind w:hanging="0" w:end="0"/>
        <w:rPr/>
      </w:pPr>
      <w:r>
        <w:rPr/>
        <w:tab/>
        <w:t>Please feel free to let us know if you have any questions or need more specific information.  We look forward to working with Enron on interconnection agreement issues.</w:t>
      </w:r>
    </w:p>
    <w:sectPr>
      <w:headerReference w:type="default" r:id="rId3"/>
      <w:footerReference w:type="default" r:id="rId4"/>
      <w:footnotePr>
        <w:numFmt w:val="decimal"/>
      </w:footnotePr>
      <w:type w:val="nextPage"/>
      <w:pgSz w:w="12240" w:h="15840"/>
      <w:pgMar w:left="1440" w:right="1440" w:gutter="0" w:header="72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Bold">
    <w:altName w:val="Times New Roman"/>
    <w:charset w:val="00" w:characterSet="windows-1252"/>
    <w:family w:val="roman"/>
    <w:pitch w:val="default"/>
  </w:font>
  <w:font w:name="Courier New">
    <w:charset w:val="00" w:characterSet="windows-1252"/>
    <w:family w:val="modern"/>
    <w:pitch w:val="default"/>
  </w:font>
  <w:font w:name="Wingdings">
    <w:charset w:val="02"/>
    <w:family w:val="auto"/>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lear" w:pos="8640"/>
        <w:tab w:val="right" w:pos="9350" w:leader="none"/>
      </w:tabs>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rPr/>
      </w:pPr>
      <w:r>
        <w:rPr>
          <w:rStyle w:val="FootnoteCharacters"/>
        </w:rPr>
        <w:footnoteRef/>
      </w:r>
      <w:r>
        <w:rPr/>
        <w:t xml:space="preserve"> </w:t>
      </w:r>
      <w:r>
        <w:rPr/>
        <w:tab/>
      </w:r>
      <w:r>
        <w:rPr>
          <w:i/>
          <w:iCs/>
        </w:rPr>
        <w:t>See</w:t>
      </w:r>
      <w:r>
        <w:rPr/>
        <w:t xml:space="preserve"> discussion of unbundled network elements below.</w:t>
      </w:r>
    </w:p>
  </w:footnote>
  <w:footnote w:id="3">
    <w:p>
      <w:pPr>
        <w:pStyle w:val="FootnoteText"/>
        <w:rPr/>
      </w:pPr>
      <w:r>
        <w:rPr>
          <w:rStyle w:val="FootnoteCharacters"/>
        </w:rPr>
        <w:footnoteRef/>
      </w:r>
      <w:r>
        <w:rPr/>
        <w:t xml:space="preserve"> </w:t>
      </w:r>
      <w:r>
        <w:rPr/>
        <w:tab/>
        <w:t>47 U.S.C. 251ff.</w:t>
      </w:r>
    </w:p>
  </w:footnote>
  <w:footnote w:id="4">
    <w:p>
      <w:pPr>
        <w:pStyle w:val="FootnoteText"/>
        <w:rPr/>
      </w:pPr>
      <w:r>
        <w:rPr>
          <w:rStyle w:val="FootnoteCharacters"/>
        </w:rPr>
        <w:footnoteRef/>
      </w:r>
      <w:r>
        <w:rPr/>
        <w:t xml:space="preserve"> </w:t>
      </w:r>
      <w:r>
        <w:rPr/>
        <w:tab/>
      </w:r>
      <w:r>
        <w:rPr>
          <w:i/>
          <w:iCs/>
        </w:rPr>
        <w:t>Id.,</w:t>
      </w:r>
      <w:r>
        <w:rPr/>
        <w:t xml:space="preserve"> § 251(c).</w:t>
      </w:r>
    </w:p>
  </w:footnote>
  <w:footnote w:id="5">
    <w:p>
      <w:pPr>
        <w:pStyle w:val="FootnoteText"/>
        <w:rPr/>
      </w:pPr>
      <w:r>
        <w:rPr>
          <w:rStyle w:val="FootnoteCharacters"/>
        </w:rPr>
        <w:footnoteRef/>
      </w:r>
      <w:r>
        <w:rPr/>
        <w:t xml:space="preserve"> </w:t>
      </w:r>
      <w:r>
        <w:rPr/>
        <w:tab/>
      </w:r>
      <w:r>
        <w:rPr>
          <w:i/>
          <w:iCs/>
        </w:rPr>
        <w:t xml:space="preserve">Id., </w:t>
      </w:r>
      <w:r>
        <w:rPr/>
        <w:t xml:space="preserve"> § 251(c)(2)(B).</w:t>
      </w:r>
    </w:p>
  </w:footnote>
  <w:footnote w:id="6">
    <w:p>
      <w:pPr>
        <w:pStyle w:val="FootnoteText"/>
        <w:rPr/>
      </w:pPr>
      <w:r>
        <w:rPr>
          <w:rStyle w:val="FootnoteCharacters"/>
        </w:rPr>
        <w:footnoteRef/>
      </w:r>
      <w:r>
        <w:rPr/>
        <w:t xml:space="preserve"> </w:t>
      </w:r>
      <w:r>
        <w:rPr/>
        <w:tab/>
      </w:r>
      <w:r>
        <w:rPr>
          <w:i/>
          <w:iCs/>
        </w:rPr>
        <w:t xml:space="preserve">Id., </w:t>
      </w:r>
      <w:r>
        <w:rPr/>
        <w:t>§ 251(d).</w:t>
      </w:r>
    </w:p>
  </w:footnote>
  <w:footnote w:id="7">
    <w:p>
      <w:pPr>
        <w:pStyle w:val="FootnoteText"/>
        <w:rPr/>
      </w:pPr>
      <w:r>
        <w:rPr>
          <w:rStyle w:val="FootnoteCharacters"/>
        </w:rPr>
        <w:footnoteRef/>
      </w:r>
      <w:r>
        <w:rPr/>
        <w:t xml:space="preserve"> </w:t>
      </w:r>
      <w:r>
        <w:rPr/>
        <w:tab/>
      </w:r>
      <w:r>
        <w:rPr>
          <w:i/>
          <w:iCs/>
        </w:rPr>
        <w:t xml:space="preserve">Id., </w:t>
      </w:r>
      <w:r>
        <w:rPr/>
        <w:t>§§ 251(d)(3); 251(f); 252.</w:t>
      </w:r>
    </w:p>
  </w:footnote>
  <w:footnote w:id="8">
    <w:p>
      <w:pPr>
        <w:pStyle w:val="FootnoteText"/>
        <w:rPr/>
      </w:pPr>
      <w:r>
        <w:rPr>
          <w:rStyle w:val="FootnoteCharacters"/>
        </w:rPr>
        <w:footnoteRef/>
      </w:r>
      <w:r>
        <w:rPr/>
        <w:t xml:space="preserve"> </w:t>
      </w:r>
      <w:r>
        <w:rPr/>
        <w:tab/>
      </w:r>
      <w:r>
        <w:rPr>
          <w:i/>
          <w:iCs/>
        </w:rPr>
        <w:t xml:space="preserve">Id., </w:t>
      </w:r>
      <w:r>
        <w:rPr/>
        <w:t>§ 251(c).</w:t>
      </w:r>
    </w:p>
  </w:footnote>
  <w:footnote w:id="9">
    <w:p>
      <w:pPr>
        <w:pStyle w:val="FootnoteText"/>
        <w:rPr/>
      </w:pPr>
      <w:r>
        <w:rPr>
          <w:rStyle w:val="FootnoteCharacters"/>
        </w:rPr>
        <w:footnoteRef/>
      </w:r>
      <w:r>
        <w:rPr/>
        <w:t xml:space="preserve"> </w:t>
      </w:r>
      <w:r>
        <w:rPr/>
        <w:tab/>
      </w:r>
      <w:r>
        <w:rPr>
          <w:i/>
          <w:iCs/>
        </w:rPr>
        <w:t>Id.</w:t>
      </w:r>
      <w:r>
        <w:rPr/>
        <w:t>, § 252(d)(1)(A).</w:t>
      </w:r>
    </w:p>
  </w:footnote>
  <w:footnote w:id="10">
    <w:p>
      <w:pPr>
        <w:pStyle w:val="FootnoteText"/>
        <w:rPr/>
      </w:pPr>
      <w:r>
        <w:rPr>
          <w:rStyle w:val="FootnoteCharacters"/>
        </w:rPr>
        <w:footnoteRef/>
      </w:r>
      <w:r>
        <w:rPr/>
        <w:t xml:space="preserve"> </w:t>
      </w:r>
      <w:r>
        <w:rPr/>
        <w:tab/>
      </w:r>
      <w:r>
        <w:rPr>
          <w:i/>
          <w:iCs/>
        </w:rPr>
        <w:t>See generally,</w:t>
      </w:r>
      <w:r>
        <w:rPr>
          <w:iCs/>
        </w:rPr>
        <w:t xml:space="preserve"> </w:t>
      </w:r>
      <w:r>
        <w:rPr>
          <w:i/>
        </w:rPr>
        <w:t xml:space="preserve">Implementation of the Local Competition Provisions of the Telecommunications Act of 1996, </w:t>
      </w:r>
      <w:r>
        <w:rPr>
          <w:iCs/>
        </w:rPr>
        <w:t>CC Docket No. 96-98, First Report and Order, 11 FCC Rcd 15499 (1996).</w:t>
      </w:r>
    </w:p>
  </w:footnote>
  <w:footnote w:id="11">
    <w:p>
      <w:pPr>
        <w:pStyle w:val="FootnoteText"/>
        <w:rPr/>
      </w:pPr>
      <w:r>
        <w:rPr>
          <w:rStyle w:val="FootnoteCharacters"/>
        </w:rPr>
        <w:footnoteRef/>
      </w:r>
      <w:r>
        <w:rPr/>
        <w:t xml:space="preserve"> </w:t>
      </w:r>
      <w:r>
        <w:rPr/>
        <w:tab/>
      </w:r>
      <w:r>
        <w:rPr>
          <w:i/>
          <w:iCs/>
        </w:rPr>
        <w:t>Id.</w:t>
      </w:r>
    </w:p>
  </w:footnote>
  <w:footnote w:id="12">
    <w:p>
      <w:pPr>
        <w:pStyle w:val="FootnoteText"/>
        <w:rPr/>
      </w:pPr>
      <w:r>
        <w:rPr>
          <w:rStyle w:val="FootnoteCharacters"/>
        </w:rPr>
        <w:footnoteRef/>
      </w:r>
      <w:r>
        <w:rPr/>
        <w:t xml:space="preserve"> </w:t>
      </w:r>
      <w:r>
        <w:rPr/>
        <w:tab/>
        <w:t>47 U.S.C. § 251(c)(3).</w:t>
      </w:r>
    </w:p>
  </w:footnote>
  <w:footnote w:id="13">
    <w:p>
      <w:pPr>
        <w:pStyle w:val="FootnoteText"/>
        <w:rPr/>
      </w:pPr>
      <w:r>
        <w:rPr>
          <w:rStyle w:val="FootnoteCharacters"/>
        </w:rPr>
        <w:footnoteRef/>
      </w:r>
      <w:r>
        <w:rPr/>
        <w:t xml:space="preserve"> </w:t>
      </w:r>
      <w:r>
        <w:rPr/>
        <w:tab/>
      </w:r>
      <w:r>
        <w:rPr>
          <w:i/>
          <w:iCs/>
        </w:rPr>
        <w:t xml:space="preserve">Id., </w:t>
      </w:r>
      <w:r>
        <w:rPr/>
        <w:t>§ 251(d)(2).</w:t>
      </w:r>
    </w:p>
  </w:footnote>
  <w:footnote w:id="14">
    <w:p>
      <w:pPr>
        <w:pStyle w:val="FootnoteText"/>
        <w:rPr/>
      </w:pPr>
      <w:r>
        <w:rPr>
          <w:rStyle w:val="FootnoteCharacters"/>
        </w:rPr>
        <w:footnoteRef/>
      </w:r>
      <w:r>
        <w:rPr/>
        <w:t xml:space="preserve"> </w:t>
      </w:r>
      <w:r>
        <w:rPr/>
        <w:tab/>
      </w:r>
      <w:r>
        <w:rPr>
          <w:i/>
          <w:iCs/>
        </w:rPr>
        <w:t xml:space="preserve">See generally, Implementation of the Local Competition Provisions of the Telecommunications Act of 1996, </w:t>
      </w:r>
      <w:r>
        <w:rPr/>
        <w:t>CC Docket No. 96-98, Third Report and Order and Fourth Further Notice of Proposed Rulemaking (November 5, 1999)(the UNE Remand Order).</w:t>
      </w:r>
    </w:p>
  </w:footnote>
  <w:footnote w:id="15">
    <w:p>
      <w:pPr>
        <w:pStyle w:val="FootnoteText"/>
        <w:rPr/>
      </w:pPr>
      <w:r>
        <w:rPr>
          <w:rStyle w:val="FootnoteCharacters"/>
        </w:rPr>
        <w:footnoteRef/>
      </w:r>
      <w:r>
        <w:rPr/>
        <w:t xml:space="preserve"> </w:t>
      </w:r>
      <w:r>
        <w:rPr/>
        <w:tab/>
      </w:r>
      <w:r>
        <w:rPr>
          <w:i/>
          <w:iCs/>
        </w:rPr>
        <w:t>Id.</w:t>
      </w:r>
    </w:p>
  </w:footnote>
  <w:footnote w:id="16">
    <w:p>
      <w:pPr>
        <w:pStyle w:val="FootnoteText"/>
        <w:rPr/>
      </w:pPr>
      <w:r>
        <w:rPr>
          <w:rStyle w:val="FootnoteCharacters"/>
        </w:rPr>
        <w:footnoteRef/>
      </w:r>
      <w:r>
        <w:rPr/>
        <w:t xml:space="preserve"> </w:t>
      </w:r>
      <w:r>
        <w:rPr/>
        <w:tab/>
      </w:r>
      <w:r>
        <w:rPr>
          <w:i/>
          <w:iCs/>
        </w:rPr>
        <w:t xml:space="preserve">Re Deployment of Wireline Services Offering Advanced Telecommunications Capability and Implementation of the Local Competition Provisions of the Telecommunications Act of 1996, </w:t>
      </w:r>
      <w:r>
        <w:rPr/>
        <w:t>CC Docket Nos. 98-147 and 96-98, Third Report and Order in CC Docket No. 98-147 and Fourth Report and Order in CC Docket No. 96-98 (December, 1999)(the Line Sharing Order).</w:t>
      </w:r>
      <w:r>
        <w:rPr>
          <w:i/>
          <w:iCs/>
        </w:rPr>
        <w:t xml:space="preserve"> </w:t>
      </w:r>
    </w:p>
  </w:footnote>
  <w:footnote w:id="17">
    <w:p>
      <w:pPr>
        <w:pStyle w:val="FootnoteText"/>
        <w:rPr/>
      </w:pPr>
      <w:r>
        <w:rPr>
          <w:rStyle w:val="FootnoteCharacters"/>
        </w:rPr>
        <w:footnoteRef/>
      </w:r>
      <w:r>
        <w:rPr/>
        <w:t xml:space="preserve"> </w:t>
      </w:r>
      <w:r>
        <w:rPr/>
        <w:tab/>
        <w:t xml:space="preserve">An example is the current Illinois proceeding regarding Ameritech-Illinois’ line sharing tariff, ICC Case number 00-0393.  </w:t>
      </w:r>
    </w:p>
  </w:footnote>
  <w:footnote w:id="18">
    <w:p>
      <w:pPr>
        <w:pStyle w:val="FootnoteText"/>
        <w:rPr/>
      </w:pPr>
      <w:r>
        <w:rPr>
          <w:rStyle w:val="FootnoteCharacters"/>
        </w:rPr>
        <w:footnoteRef/>
      </w:r>
      <w:r>
        <w:rPr/>
        <w:t xml:space="preserve"> </w:t>
      </w:r>
      <w:r>
        <w:rPr/>
        <w:tab/>
      </w:r>
      <w:r>
        <w:rPr>
          <w:i/>
          <w:iCs/>
        </w:rPr>
        <w:t xml:space="preserve">Id., </w:t>
      </w:r>
      <w:r>
        <w:rPr/>
        <w:t>§ 251(d)(3); UNE Remand Order, ¶¶ 153-156..</w:t>
      </w:r>
    </w:p>
  </w:footnote>
  <w:footnote w:id="19">
    <w:p>
      <w:pPr>
        <w:pStyle w:val="FootnoteText"/>
        <w:rPr/>
      </w:pPr>
      <w:r>
        <w:rPr>
          <w:rStyle w:val="FootnoteCharacters"/>
        </w:rPr>
        <w:footnoteRef/>
      </w:r>
      <w:r>
        <w:rPr/>
        <w:t xml:space="preserve"> </w:t>
      </w:r>
      <w:r>
        <w:rPr/>
        <w:tab/>
      </w:r>
      <w:r>
        <w:rPr>
          <w:i/>
          <w:iCs/>
        </w:rPr>
        <w:t xml:space="preserve">Id., </w:t>
      </w:r>
      <w:r>
        <w:rPr/>
        <w:t>at § 251(c)(6).</w:t>
      </w:r>
    </w:p>
  </w:footnote>
  <w:footnote w:id="20">
    <w:p>
      <w:pPr>
        <w:pStyle w:val="FootnoteText"/>
        <w:rPr/>
      </w:pPr>
      <w:r>
        <w:rPr>
          <w:rStyle w:val="FootnoteCharacters"/>
        </w:rPr>
        <w:footnoteRef/>
      </w:r>
      <w:r>
        <w:rPr/>
        <w:t xml:space="preserve"> </w:t>
      </w:r>
      <w:r>
        <w:rPr/>
        <w:tab/>
      </w:r>
      <w:r>
        <w:rPr>
          <w:i/>
          <w:iCs/>
        </w:rPr>
        <w:t xml:space="preserve">Id., </w:t>
      </w:r>
      <w:r>
        <w:rPr/>
        <w:t>§ 252.</w:t>
      </w:r>
    </w:p>
  </w:footnote>
  <w:footnote w:id="21">
    <w:p>
      <w:pPr>
        <w:pStyle w:val="FootnoteText"/>
        <w:rPr/>
      </w:pPr>
      <w:r>
        <w:rPr>
          <w:rStyle w:val="FootnoteCharacters"/>
        </w:rPr>
        <w:footnoteRef/>
      </w:r>
      <w:r>
        <w:rPr/>
        <w:t xml:space="preserve"> </w:t>
      </w:r>
      <w:r>
        <w:rPr/>
        <w:tab/>
      </w:r>
      <w:r>
        <w:rPr>
          <w:i/>
          <w:iCs/>
        </w:rPr>
        <w:t xml:space="preserve">Id., </w:t>
      </w:r>
      <w:r>
        <w:rPr/>
        <w:t>§ 252(a).</w:t>
      </w:r>
    </w:p>
  </w:footnote>
  <w:footnote w:id="22">
    <w:p>
      <w:pPr>
        <w:pStyle w:val="FootnoteText"/>
        <w:rPr/>
      </w:pPr>
      <w:r>
        <w:rPr>
          <w:rStyle w:val="FootnoteCharacters"/>
        </w:rPr>
        <w:footnoteRef/>
      </w:r>
      <w:r>
        <w:rPr/>
        <w:t xml:space="preserve"> </w:t>
      </w:r>
      <w:r>
        <w:rPr/>
        <w:tab/>
      </w:r>
      <w:r>
        <w:rPr>
          <w:i/>
          <w:iCs/>
        </w:rPr>
        <w:t xml:space="preserve">Id., </w:t>
      </w:r>
      <w:r>
        <w:rPr/>
        <w:t>§ 252(b)(1).</w:t>
      </w:r>
    </w:p>
  </w:footnote>
  <w:footnote w:id="23">
    <w:p>
      <w:pPr>
        <w:pStyle w:val="FootnoteText"/>
        <w:rPr/>
      </w:pPr>
      <w:r>
        <w:rPr>
          <w:rStyle w:val="FootnoteCharacters"/>
        </w:rPr>
        <w:footnoteRef/>
      </w:r>
      <w:r>
        <w:rPr/>
        <w:t xml:space="preserve"> </w:t>
      </w:r>
      <w:r>
        <w:rPr/>
        <w:tab/>
      </w:r>
      <w:r>
        <w:rPr>
          <w:i/>
          <w:iCs/>
        </w:rPr>
        <w:t xml:space="preserve">Id., </w:t>
      </w:r>
      <w:r>
        <w:rPr/>
        <w:t>§ 252(a)(2).</w:t>
      </w:r>
    </w:p>
  </w:footnote>
  <w:footnote w:id="24">
    <w:p>
      <w:pPr>
        <w:pStyle w:val="FootnoteText"/>
        <w:rPr/>
      </w:pPr>
      <w:r>
        <w:rPr>
          <w:rStyle w:val="FootnoteCharacters"/>
        </w:rPr>
        <w:footnoteRef/>
      </w:r>
      <w:r>
        <w:rPr/>
        <w:t xml:space="preserve"> </w:t>
      </w:r>
      <w:r>
        <w:rPr/>
        <w:tab/>
      </w:r>
      <w:r>
        <w:rPr>
          <w:i/>
          <w:iCs/>
        </w:rPr>
        <w:t xml:space="preserve">Id., </w:t>
      </w:r>
      <w:r>
        <w:rPr/>
        <w:t>§ 252(b)(4)(C).</w:t>
      </w:r>
    </w:p>
  </w:footnote>
  <w:footnote w:id="25">
    <w:p>
      <w:pPr>
        <w:pStyle w:val="FootnoteText"/>
        <w:rPr/>
      </w:pPr>
      <w:r>
        <w:rPr>
          <w:rStyle w:val="FootnoteCharacters"/>
        </w:rPr>
        <w:footnoteRef/>
      </w:r>
      <w:r>
        <w:rPr/>
        <w:t xml:space="preserve"> </w:t>
      </w:r>
      <w:r>
        <w:rPr/>
        <w:tab/>
      </w:r>
      <w:r>
        <w:rPr>
          <w:i/>
          <w:iCs/>
        </w:rPr>
        <w:t xml:space="preserve">Id., </w:t>
      </w:r>
      <w:r>
        <w:rPr/>
        <w:t>§ 252(f).</w:t>
      </w:r>
    </w:p>
  </w:footnote>
  <w:footnote w:id="26">
    <w:p>
      <w:pPr>
        <w:pStyle w:val="FootnoteText"/>
        <w:rPr/>
      </w:pPr>
      <w:r>
        <w:rPr>
          <w:rStyle w:val="FootnoteCharacters"/>
        </w:rPr>
        <w:footnoteRef/>
      </w:r>
      <w:r>
        <w:rPr/>
        <w:t xml:space="preserve"> </w:t>
      </w:r>
      <w:r>
        <w:rPr/>
        <w:tab/>
      </w:r>
      <w:r>
        <w:rPr>
          <w:i/>
          <w:iCs/>
        </w:rPr>
        <w:t>Id.</w:t>
      </w:r>
    </w:p>
  </w:footnote>
  <w:footnote w:id="27">
    <w:p>
      <w:pPr>
        <w:pStyle w:val="FootnoteText"/>
        <w:rPr/>
      </w:pPr>
      <w:r>
        <w:rPr>
          <w:rStyle w:val="FootnoteCharacters"/>
        </w:rPr>
        <w:footnoteRef/>
      </w:r>
      <w:r>
        <w:rPr/>
        <w:t xml:space="preserve"> </w:t>
      </w:r>
      <w:r>
        <w:rPr/>
        <w:tab/>
        <w:t>252(e).</w:t>
      </w:r>
    </w:p>
  </w:footnote>
  <w:footnote w:id="28">
    <w:p>
      <w:pPr>
        <w:pStyle w:val="FootnoteText"/>
        <w:rPr/>
      </w:pPr>
      <w:r>
        <w:rPr>
          <w:rStyle w:val="FootnoteCharacters"/>
        </w:rPr>
        <w:footnoteRef/>
      </w:r>
      <w:r>
        <w:rPr/>
        <w:t xml:space="preserve"> </w:t>
      </w:r>
      <w:r>
        <w:rPr/>
        <w:tab/>
        <w:t>252(e)(2).</w:t>
      </w:r>
    </w:p>
  </w:footnote>
  <w:footnote w:id="29">
    <w:p>
      <w:pPr>
        <w:pStyle w:val="FootnoteText"/>
        <w:rPr/>
      </w:pPr>
      <w:r>
        <w:rPr>
          <w:rStyle w:val="FootnoteCharacters"/>
        </w:rPr>
        <w:footnoteRef/>
      </w:r>
      <w:r>
        <w:rPr/>
        <w:t xml:space="preserve"> </w:t>
      </w:r>
      <w:r>
        <w:rPr/>
        <w:tab/>
      </w:r>
      <w:r>
        <w:rPr>
          <w:i/>
          <w:iCs/>
        </w:rPr>
        <w:t xml:space="preserve">Id., </w:t>
      </w:r>
      <w:r>
        <w:rPr/>
        <w:t>§ 252(e)(4).</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4320"/>
        <w:tab w:val="clear" w:pos="8640"/>
        <w:tab w:val="center" w:pos="4675" w:leader="none"/>
        <w:tab w:val="right" w:pos="9350" w:leader="none"/>
      </w:tabs>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upperRoman"/>
      <w:lvlText w:val="%1."/>
      <w:lvlJc w:val="start"/>
      <w:pPr>
        <w:tabs>
          <w:tab w:val="num" w:pos="720"/>
        </w:tabs>
        <w:ind w:start="720" w:hanging="720"/>
      </w:pPr>
      <w:rPr>
        <w:sz w:val="24"/>
        <w:i w:val="false"/>
        <w:b/>
        <w:rFonts w:ascii="Times New Roman Bold;Times New Roman" w:hAnsi="Times New Roman Bold;Times New Roman" w:cs="Times New Roman Bold;Times New Roman"/>
      </w:rPr>
    </w:lvl>
    <w:lvl w:ilvl="1">
      <w:start w:val="1"/>
      <w:pStyle w:val="Heading2"/>
      <w:numFmt w:val="upperLetter"/>
      <w:lvlText w:val="%2."/>
      <w:lvlJc w:val="start"/>
      <w:pPr>
        <w:tabs>
          <w:tab w:val="num" w:pos="1440"/>
        </w:tabs>
        <w:ind w:start="1440" w:hanging="720"/>
      </w:pPr>
      <w:rPr>
        <w:sz w:val="24"/>
        <w:i w:val="false"/>
        <w:b/>
        <w:rFonts w:ascii="Times New Roman Bold;Times New Roman" w:hAnsi="Times New Roman Bold;Times New Roman" w:cs="Times New Roman Bold;Times New Roman"/>
      </w:rPr>
    </w:lvl>
    <w:lvl w:ilvl="2">
      <w:start w:val="1"/>
      <w:pStyle w:val="Heading3"/>
      <w:numFmt w:val="decimal"/>
      <w:lvlText w:val="%3."/>
      <w:lvlJc w:val="start"/>
      <w:pPr>
        <w:tabs>
          <w:tab w:val="num" w:pos="2160"/>
        </w:tabs>
        <w:ind w:start="2160" w:hanging="720"/>
      </w:pPr>
      <w:rPr>
        <w:sz w:val="24"/>
        <w:i w:val="false"/>
        <w:b/>
        <w:rFonts w:ascii="Times New Roman Bold;Times New Roman" w:hAnsi="Times New Roman Bold;Times New Roman" w:cs="Times New Roman Bold;Times New Roman"/>
      </w:rPr>
    </w:lvl>
    <w:lvl w:ilvl="3">
      <w:start w:val="1"/>
      <w:pStyle w:val="Heading4"/>
      <w:numFmt w:val="lowerLetter"/>
      <w:lvlText w:val="%4."/>
      <w:lvlJc w:val="start"/>
      <w:pPr>
        <w:tabs>
          <w:tab w:val="num" w:pos="2880"/>
        </w:tabs>
        <w:ind w:start="2880" w:hanging="720"/>
      </w:pPr>
      <w:rPr>
        <w:sz w:val="24"/>
        <w:i w:val="false"/>
        <w:b/>
        <w:rFonts w:ascii="Times New Roman Bold;Times New Roman" w:hAnsi="Times New Roman Bold;Times New Roman" w:cs="Times New Roman Bold;Times New Roman"/>
      </w:rPr>
    </w:lvl>
    <w:lvl w:ilvl="4">
      <w:start w:val="1"/>
      <w:pStyle w:val="Heading5"/>
      <w:numFmt w:val="decimal"/>
      <w:lvlText w:val="(%5)"/>
      <w:lvlJc w:val="start"/>
      <w:pPr>
        <w:tabs>
          <w:tab w:val="num" w:pos="3600"/>
        </w:tabs>
        <w:ind w:start="3600" w:hanging="720"/>
      </w:pPr>
      <w:rPr/>
    </w:lvl>
    <w:lvl w:ilvl="5">
      <w:start w:val="1"/>
      <w:numFmt w:val="lowerLetter"/>
      <w:lvlText w:val="(%6)"/>
      <w:lvlJc w:val="start"/>
      <w:pPr>
        <w:tabs>
          <w:tab w:val="num" w:pos="3960"/>
        </w:tabs>
        <w:ind w:start="3600" w:hanging="0"/>
      </w:pPr>
      <w:rPr/>
    </w:lvl>
    <w:lvl w:ilvl="6">
      <w:start w:val="1"/>
      <w:numFmt w:val="lowerRoman"/>
      <w:lvlText w:val="(%7)"/>
      <w:lvlJc w:val="start"/>
      <w:pPr>
        <w:tabs>
          <w:tab w:val="num" w:pos="4680"/>
        </w:tabs>
        <w:ind w:start="4320" w:hanging="0"/>
      </w:pPr>
      <w:rPr/>
    </w:lvl>
    <w:lvl w:ilvl="7">
      <w:start w:val="1"/>
      <w:numFmt w:val="lowerLetter"/>
      <w:lvlText w:val="(%8)"/>
      <w:lvlJc w:val="start"/>
      <w:pPr>
        <w:tabs>
          <w:tab w:val="num" w:pos="5400"/>
        </w:tabs>
        <w:ind w:start="5040" w:hanging="0"/>
      </w:pPr>
      <w:rPr/>
    </w:lvl>
    <w:lvl w:ilvl="8">
      <w:start w:val="1"/>
      <w:numFmt w:val="lowerRoman"/>
      <w:lvlText w:val="(%9)"/>
      <w:lvlJc w:val="start"/>
      <w:pPr>
        <w:tabs>
          <w:tab w:val="num" w:pos="6120"/>
        </w:tabs>
        <w:ind w:start="5760" w:hanging="0"/>
      </w:pPr>
      <w:rPr/>
    </w:lvl>
  </w:abstractNum>
  <w:abstractNum w:abstractNumId="2">
    <w:lvl w:ilvl="0">
      <w:start w:val="1"/>
      <w:numFmt w:val="decimal"/>
      <w:lvlText w:val="%1."/>
      <w:lvlJc w:val="start"/>
      <w:pPr>
        <w:tabs>
          <w:tab w:val="num" w:pos="720"/>
        </w:tabs>
        <w:ind w:start="720" w:hanging="360"/>
      </w:pPr>
    </w:lvl>
  </w:abstractNum>
  <w:abstractNum w:abstractNumId="3">
    <w:lvl w:ilvl="0">
      <w:start w:val="1"/>
      <w:numFmt w:val="bullet"/>
      <w:lvlText w:val=""/>
      <w:lvlJc w:val="start"/>
      <w:pPr>
        <w:tabs>
          <w:tab w:val="num" w:pos="720"/>
        </w:tabs>
        <w:ind w:start="720" w:hanging="360"/>
      </w:pPr>
      <w:rPr>
        <w:rFonts w:ascii="Symbol" w:hAnsi="Symbol" w:cs="Symbol" w:hint="default"/>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hyphenationZone w:val="0"/>
  <w:footnotePr>
    <w:numFmt w:val="decimal"/>
    <w:footnote w:id="0"/>
    <w:footnote w:id="1"/>
  </w:footnotePr>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BodyText"/>
    <w:qFormat/>
    <w:pPr>
      <w:keepNext w:val="true"/>
      <w:numPr>
        <w:ilvl w:val="0"/>
        <w:numId w:val="1"/>
      </w:numPr>
      <w:spacing w:before="0" w:after="240"/>
      <w:outlineLvl w:val="0"/>
    </w:pPr>
    <w:rPr>
      <w:b/>
      <w:caps/>
      <w:szCs w:val="20"/>
    </w:rPr>
  </w:style>
  <w:style w:type="paragraph" w:styleId="Heading2">
    <w:name w:val="heading 2"/>
    <w:basedOn w:val="Normal"/>
    <w:next w:val="BodyText"/>
    <w:qFormat/>
    <w:pPr>
      <w:keepNext w:val="true"/>
      <w:numPr>
        <w:ilvl w:val="1"/>
        <w:numId w:val="1"/>
      </w:numPr>
      <w:spacing w:before="0" w:after="240"/>
      <w:outlineLvl w:val="1"/>
    </w:pPr>
    <w:rPr>
      <w:rFonts w:ascii="Times New Roman Bold;Times New Roman" w:hAnsi="Times New Roman Bold;Times New Roman" w:cs="Arial"/>
      <w:b/>
      <w:bCs/>
      <w:iCs/>
      <w:szCs w:val="28"/>
    </w:rPr>
  </w:style>
  <w:style w:type="paragraph" w:styleId="Heading3">
    <w:name w:val="heading 3"/>
    <w:basedOn w:val="Normal"/>
    <w:next w:val="BodyText"/>
    <w:qFormat/>
    <w:pPr>
      <w:keepNext w:val="true"/>
      <w:numPr>
        <w:ilvl w:val="2"/>
        <w:numId w:val="1"/>
      </w:numPr>
      <w:spacing w:before="0" w:after="240"/>
      <w:outlineLvl w:val="2"/>
    </w:pPr>
    <w:rPr>
      <w:rFonts w:ascii="Times New Roman Bold;Times New Roman" w:hAnsi="Times New Roman Bold;Times New Roman" w:cs="Arial"/>
      <w:b/>
      <w:bCs/>
      <w:szCs w:val="26"/>
    </w:rPr>
  </w:style>
  <w:style w:type="paragraph" w:styleId="Heading4">
    <w:name w:val="heading 4"/>
    <w:basedOn w:val="Normal"/>
    <w:next w:val="BodyText"/>
    <w:qFormat/>
    <w:pPr>
      <w:keepNext w:val="true"/>
      <w:numPr>
        <w:ilvl w:val="3"/>
        <w:numId w:val="1"/>
      </w:numPr>
      <w:spacing w:before="0" w:after="240"/>
      <w:outlineLvl w:val="3"/>
    </w:pPr>
    <w:rPr>
      <w:rFonts w:ascii="Times New Roman Bold;Times New Roman" w:hAnsi="Times New Roman Bold;Times New Roman" w:cs="Times New Roman Bold;Times New Roman"/>
      <w:b/>
      <w:bCs/>
      <w:szCs w:val="28"/>
    </w:rPr>
  </w:style>
  <w:style w:type="paragraph" w:styleId="Heading5">
    <w:name w:val="heading 5"/>
    <w:basedOn w:val="Normal"/>
    <w:next w:val="BodyText"/>
    <w:qFormat/>
    <w:pPr>
      <w:keepNext w:val="true"/>
      <w:numPr>
        <w:ilvl w:val="4"/>
        <w:numId w:val="1"/>
      </w:numPr>
      <w:spacing w:before="0" w:after="240"/>
      <w:outlineLvl w:val="4"/>
    </w:pPr>
    <w:rPr>
      <w:rFonts w:ascii="Times New Roman Bold;Times New Roman" w:hAnsi="Times New Roman Bold;Times New Roman" w:cs="Times New Roman Bold;Times New Roman"/>
      <w:b/>
      <w:bCs/>
      <w:iCs/>
      <w:szCs w:val="26"/>
    </w:rPr>
  </w:style>
  <w:style w:type="paragraph" w:styleId="Heading6">
    <w:name w:val="heading 6"/>
    <w:basedOn w:val="Normal"/>
    <w:next w:val="Normal"/>
    <w:qFormat/>
    <w:pPr>
      <w:keepNext w:val="true"/>
      <w:spacing w:before="0" w:after="240"/>
      <w:outlineLvl w:val="5"/>
    </w:pPr>
    <w:rPr>
      <w:rFonts w:ascii="Times New Roman Bold;Times New Roman" w:hAnsi="Times New Roman Bold;Times New Roman" w:cs="Times New Roman Bold;Times New Roman"/>
      <w:b/>
      <w:bCs/>
      <w:szCs w:val="22"/>
    </w:rPr>
  </w:style>
  <w:style w:type="paragraph" w:styleId="Heading7">
    <w:name w:val="heading 7"/>
    <w:basedOn w:val="Normal"/>
    <w:next w:val="Normal"/>
    <w:qFormat/>
    <w:pPr>
      <w:keepNext w:val="true"/>
      <w:spacing w:before="0" w:after="240"/>
      <w:outlineLvl w:val="6"/>
    </w:pPr>
    <w:rPr>
      <w:rFonts w:ascii="Times New Roman Bold;Times New Roman" w:hAnsi="Times New Roman Bold;Times New Roman" w:cs="Times New Roman Bold;Times New Roman"/>
      <w:b/>
    </w:rPr>
  </w:style>
  <w:style w:type="paragraph" w:styleId="Heading8">
    <w:name w:val="heading 8"/>
    <w:basedOn w:val="Normal"/>
    <w:next w:val="Normal"/>
    <w:qFormat/>
    <w:pPr>
      <w:keepNext w:val="true"/>
      <w:spacing w:before="0" w:after="240"/>
      <w:outlineLvl w:val="7"/>
    </w:pPr>
    <w:rPr>
      <w:rFonts w:ascii="Times New Roman Bold;Times New Roman" w:hAnsi="Times New Roman Bold;Times New Roman" w:cs="Times New Roman Bold;Times New Roman"/>
      <w:b/>
      <w:iCs/>
    </w:rPr>
  </w:style>
  <w:style w:type="paragraph" w:styleId="Heading9">
    <w:name w:val="heading 9"/>
    <w:basedOn w:val="Normal"/>
    <w:next w:val="Normal"/>
    <w:qFormat/>
    <w:pPr>
      <w:keepNext w:val="true"/>
      <w:spacing w:before="0" w:after="240"/>
      <w:outlineLvl w:val="8"/>
    </w:pPr>
    <w:rPr>
      <w:rFonts w:ascii="Times New Roman Bold;Times New Roman" w:hAnsi="Times New Roman Bold;Times New Roman" w:cs="Arial"/>
      <w:b/>
      <w:szCs w:val="22"/>
    </w:rPr>
  </w:style>
  <w:style w:type="character" w:styleId="WW8Num1z0">
    <w:name w:val="WW8Num1z0"/>
    <w:qFormat/>
    <w:rPr>
      <w:rFonts w:ascii="Symbol" w:hAnsi="Symbol" w:cs="Symbol"/>
    </w:rPr>
  </w:style>
  <w:style w:type="character" w:styleId="WW8Num3z0">
    <w:name w:val="WW8Num3z0"/>
    <w:qFormat/>
    <w:rPr>
      <w:rFonts w:ascii="Times New Roman" w:hAnsi="Times New Roman" w:cs="Times New Roman"/>
      <w:b/>
      <w:i w:val="false"/>
      <w:caps/>
      <w:sz w:val="24"/>
    </w:rPr>
  </w:style>
  <w:style w:type="character" w:styleId="WW8Num3z2">
    <w:name w:val="WW8Num3z2"/>
    <w:qFormat/>
    <w:rPr>
      <w:rFonts w:ascii="Times New Roman" w:hAnsi="Times New Roman" w:cs="Times New Roman"/>
      <w:b/>
      <w:i w:val="false"/>
      <w:sz w:val="24"/>
    </w:rPr>
  </w:style>
  <w:style w:type="character" w:styleId="WW8Num3z5">
    <w:name w:val="WW8Num3z5"/>
    <w:qFormat/>
    <w:rPr>
      <w:rFonts w:ascii="Times New Roman Bold;Times New Roman" w:hAnsi="Times New Roman Bold;Times New Roman" w:cs="Times New Roman Bold;Times New Roman"/>
      <w:b/>
      <w:i w:val="false"/>
      <w:sz w:val="24"/>
    </w:rPr>
  </w:style>
  <w:style w:type="character" w:styleId="WW8Num3z6">
    <w:name w:val="WW8Num3z6"/>
    <w:qFormat/>
    <w:rPr/>
  </w:style>
  <w:style w:type="character" w:styleId="WW8Num4z0">
    <w:name w:val="WW8Num4z0"/>
    <w:qFormat/>
    <w:rPr>
      <w:rFonts w:ascii="Symbol" w:hAnsi="Symbol" w:cs="Symbol"/>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5z0">
    <w:name w:val="WW8Num5z0"/>
    <w:qFormat/>
    <w:rPr>
      <w:rFonts w:ascii="Times New Roman Bold;Times New Roman" w:hAnsi="Times New Roman Bold;Times New Roman" w:cs="Times New Roman Bold;Times New Roman"/>
      <w:b/>
      <w:i w:val="false"/>
      <w:sz w:val="24"/>
    </w:rPr>
  </w:style>
  <w:style w:type="character" w:styleId="WW8Num5z4">
    <w:name w:val="WW8Num5z4"/>
    <w:qFormat/>
    <w:rPr/>
  </w:style>
  <w:style w:type="character" w:styleId="DefaultParagraphFont">
    <w:name w:val="Default Paragraph Font"/>
    <w:qFormat/>
    <w:rPr/>
  </w:style>
  <w:style w:type="character" w:styleId="FootnoteCharacters">
    <w:name w:val="Footnote Characters"/>
    <w:basedOn w:val="DefaultParagraphFont"/>
    <w:qFormat/>
    <w:rPr>
      <w:vertAlign w:val="superscript"/>
    </w:rPr>
  </w:style>
  <w:style w:type="character" w:styleId="PageNumber">
    <w:name w:val="page number"/>
    <w:basedOn w:val="DefaultParagraphFon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0" w:after="240"/>
      <w:ind w:firstLine="720" w:start="0" w:end="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ldCentered">
    <w:name w:val="Bold Centered"/>
    <w:basedOn w:val="Normal"/>
    <w:next w:val="Normal"/>
    <w:qFormat/>
    <w:pPr>
      <w:jc w:val="center"/>
    </w:pPr>
    <w:rPr>
      <w:b/>
      <w:caps/>
    </w:rPr>
  </w:style>
  <w:style w:type="paragraph" w:styleId="BlockText">
    <w:name w:val="Block Text"/>
    <w:basedOn w:val="Normal"/>
    <w:qFormat/>
    <w:pPr>
      <w:spacing w:before="0" w:after="240"/>
      <w:ind w:hanging="0" w:start="1440" w:end="1440"/>
      <w:jc w:val="both"/>
    </w:pPr>
    <w:rPr/>
  </w:style>
  <w:style w:type="paragraph" w:styleId="BodyText2">
    <w:name w:val="Body Text 2"/>
    <w:basedOn w:val="Normal"/>
    <w:qFormat/>
    <w:pPr>
      <w:spacing w:lineRule="auto" w:line="480"/>
      <w:ind w:firstLine="720" w:start="0" w:end="0"/>
    </w:pPr>
    <w:rPr/>
  </w:style>
  <w:style w:type="paragraph" w:styleId="FootnoteText">
    <w:name w:val="footnote text"/>
    <w:basedOn w:val="Normal"/>
    <w:pPr>
      <w:ind w:hanging="360" w:start="360" w:end="0"/>
    </w:pPr>
    <w:rPr>
      <w:sz w:val="20"/>
      <w:szCs w:val="20"/>
    </w:rPr>
  </w:style>
  <w:style w:type="paragraph" w:styleId="EnvelopeAddress">
    <w:name w:val="envelope address"/>
    <w:basedOn w:val="Normal"/>
    <w:pPr>
      <w:ind w:hanging="0" w:start="2880" w:end="0"/>
    </w:pPr>
    <w:rPr>
      <w:rFonts w:cs="Arial"/>
    </w:rPr>
  </w:style>
  <w:style w:type="paragraph" w:styleId="EnvelopeReturn">
    <w:name w:val="envelope return"/>
    <w:basedOn w:val="Normal"/>
    <w:pPr/>
    <w:rPr>
      <w:rFonts w:cs="Arial"/>
      <w:sz w:val="20"/>
      <w:szCs w:val="20"/>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Numbered">
    <w:name w:val="Numbered"/>
    <w:basedOn w:val="Normal"/>
    <w:qFormat/>
    <w:pPr>
      <w:numPr>
        <w:ilvl w:val="0"/>
        <w:numId w:val="2"/>
      </w:numPr>
      <w:tabs>
        <w:tab w:val="clear" w:pos="720"/>
      </w:tabs>
      <w:spacing w:before="0" w:after="240"/>
      <w:ind w:hanging="715" w:start="1430" w:end="0"/>
    </w:pPr>
    <w:rPr/>
  </w:style>
  <w:style w:type="paragraph" w:styleId="Bulleted">
    <w:name w:val="Bulleted"/>
    <w:basedOn w:val="Normal"/>
    <w:qFormat/>
    <w:pPr>
      <w:numPr>
        <w:ilvl w:val="0"/>
        <w:numId w:val="3"/>
      </w:numPr>
      <w:tabs>
        <w:tab w:val="clear" w:pos="720"/>
      </w:tabs>
      <w:spacing w:before="0" w:after="240"/>
      <w:ind w:hanging="0" w:start="1100" w:end="0"/>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wmf"/><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footnotes" Target="footnotes.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2001-01-19T17:03:00Z</dcterms:created>
  <dc:creator>L. Anne Wickliffe</dc:creator>
  <dc:description/>
  <dc:language>en-CA</dc:language>
  <cp:lastModifiedBy>Blumenfeld &amp; Cohen</cp:lastModifiedBy>
  <cp:lastPrinted>2001-01-03T13:13:00Z</cp:lastPrinted>
  <dcterms:modified xsi:type="dcterms:W3CDTF">2001-01-19T17:03:00Z</dcterms:modified>
  <cp:revision>2</cp:revision>
  <dc:subject/>
  <dc:title>I</dc:title>
</cp:coreProperties>
</file>