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eastAsia="Arial"/>
        </w:rPr>
      </w:pPr>
      <w:r>
        <w:rPr>
          <w:rFonts w:eastAsia="Arial"/>
        </w:rPr>
        <w:t xml:space="preserve"> 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ASSURING ADEQUATE CAPACITY IN COMPETITIVE MARKETS</w:t>
      </w:r>
    </w:p>
    <w:p>
      <w:pPr>
        <w:pStyle w:val="Subtitle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Subtitle"/>
        <w:rPr/>
      </w:pPr>
      <w:r>
        <w:rPr/>
        <w:t>WORKSHOP AGENDA</w:t>
      </w:r>
    </w:p>
    <w:p>
      <w:pPr>
        <w:pStyle w:val="Heading3"/>
        <w:ind w:hanging="0" w:start="0"/>
        <w:rPr/>
      </w:pPr>
      <w:r>
        <w:rPr/>
        <w:t>May 15, 2001</w:t>
      </w:r>
    </w:p>
    <w:p>
      <w:pPr>
        <w:pStyle w:val="Normal"/>
        <w:jc w:val="center"/>
        <w:rPr>
          <w:b/>
        </w:rPr>
      </w:pPr>
      <w:r>
        <w:rPr>
          <w:b/>
        </w:rPr>
        <w:t>10:00am – 4:00pm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7"/>
        </w:numPr>
        <w:rPr/>
      </w:pPr>
      <w:r>
        <w:rPr/>
        <w:t>Introductions and Workshop Goals  (10:00)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Framing the Issues--Defining Goals, Trade-Offs and Challenges (10:15)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Presentations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Ron Matlock, Duke Energy North America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Mary Beth Tighe, Amerada Hess Corporation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Harry Singh, PG&amp;E National Energy Group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Discussion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Working Lunch (Noon to 1:00)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Identifying and Addressing Obstacles (1:00)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Retail Price Caps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Utility Interests and Transition Issues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Recallable Capacity Obligations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Current Developments (2:30)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Role for EPSA (3:15)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Common Interest Based Solutions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Forums/Entry Points for EPSA Involvement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Next Steps (3:45)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2001-05-09T11:25:00Z</dcterms:created>
  <dc:creator>EPSA Staff</dc:creator>
  <dc:description/>
  <dc:language>en-CA</dc:language>
  <cp:lastModifiedBy>Jackie Gallagher</cp:lastModifiedBy>
  <cp:lastPrinted>2001-05-09T12:08:00Z</cp:lastPrinted>
  <dcterms:modified xsi:type="dcterms:W3CDTF">2001-05-09T13:39:00Z</dcterms:modified>
  <cp:revision>3</cp:revision>
  <dc:subject/>
  <dc:title>  </dc:title>
</cp:coreProperties>
</file>