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color w:val="000000"/>
          <w:sz w:val="22"/>
          <w:u w:val="single"/>
        </w:rPr>
      </w:pPr>
      <w:r>
        <w:rPr>
          <w:b/>
          <w:color w:val="000000"/>
          <w:sz w:val="22"/>
          <w:u w:val="single"/>
        </w:rPr>
        <w:t>DRAFT OF 30/08/2000</w:t>
      </w:r>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200__</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pPr>
            <w:r>
              <w:rPr>
                <w:b/>
                <w:caps/>
                <w:color w:val="000000"/>
                <w:sz w:val="22"/>
                <w:rPrChange w:id="0" w:author="TALO - B&amp;M User" w:date="2000-08-30T16:46:00Z"/>
              </w:rPr>
              <w:t xml:space="preserve">The Industrial Bank of Japan, </w:t>
            </w:r>
            <w:r>
              <w:rPr>
                <w:b/>
                <w:caps/>
                <w:color w:val="000000"/>
                <w:sz w:val="22"/>
              </w:rPr>
              <w:t>LTD.</w:t>
            </w:r>
            <w:r>
              <w:rPr>
                <w:b/>
                <w:color w:val="000000"/>
                <w:sz w:val="22"/>
              </w:rPr>
              <w:t>, a corporation organized under the law of  Japan (“Party B”)</w:t>
            </w:r>
          </w:p>
        </w:tc>
      </w:tr>
    </w:tbl>
    <w:p>
      <w:pPr>
        <w:pStyle w:val="Normal"/>
        <w:spacing w:before="480" w:after="0"/>
        <w:jc w:val="both"/>
        <w:rPr/>
      </w:pPr>
      <w:r>
        <w:rPr>
          <w:b/>
          <w:color w:val="000000"/>
          <w:sz w:val="22"/>
        </w:rPr>
        <w:t>Part 1.</w:t>
      </w:r>
      <w:r>
        <w:rPr>
          <w:color w:val="000000"/>
          <w:sz w:val="22"/>
        </w:rPr>
        <w:t xml:space="preserve"> </w:t>
      </w:r>
      <w:r>
        <w:rPr>
          <w:b/>
          <w:color w:val="000000"/>
          <w:sz w:val="22"/>
        </w:rPr>
        <w:t>Termination Provisions.</w:t>
      </w:r>
    </w:p>
    <w:p>
      <w:pPr>
        <w:pStyle w:val="Normal"/>
        <w:spacing w:before="24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24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ind w:start="720" w:end="0"/>
        <w:jc w:val="both"/>
        <w:rPr/>
      </w:pPr>
      <w:r>
        <w:rPr>
          <w:b/>
          <w:color w:val="000000"/>
          <w:sz w:val="22"/>
        </w:rPr>
        <w:t>“</w:t>
      </w:r>
      <w:r>
        <w:rPr>
          <w:b/>
          <w:color w:val="000000"/>
          <w:sz w:val="22"/>
        </w:rPr>
        <w:t>Threshold Amount”</w:t>
      </w:r>
      <w:r>
        <w:rPr>
          <w:color w:val="000000"/>
          <w:sz w:val="22"/>
        </w:rPr>
        <w:t xml:space="preserve"> means:  with respect to Party A $50,000,000 and with respect to Party B, US$50,000,000.</w:t>
      </w:r>
    </w:p>
    <w:p>
      <w:pPr>
        <w:pStyle w:val="Normal"/>
        <w:spacing w:lineRule="exact" w:line="240" w:before="240" w:after="0"/>
        <w:jc w:val="both"/>
        <w:rPr>
          <w:color w:val="000000"/>
          <w:sz w:val="22"/>
        </w:rPr>
      </w:pPr>
      <w:r>
        <w:rPr>
          <w:color w:val="000000"/>
          <w:sz w:val="22"/>
        </w:rPr>
        <w:t>(c)</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hanging="720" w:start="720" w:end="0"/>
        <w:jc w:val="both"/>
        <w:rPr/>
      </w:pPr>
      <w:r>
        <w:rPr>
          <w:color w:val="000000"/>
          <w:sz w:val="22"/>
        </w:rPr>
        <w:t>(d)</w:t>
        <w:tab/>
        <w:t xml:space="preserve">The </w:t>
      </w:r>
      <w:r>
        <w:rPr>
          <w:b/>
          <w:color w:val="000000"/>
          <w:sz w:val="22"/>
        </w:rPr>
        <w:t>“Credit Event Upon Merger”</w:t>
      </w:r>
      <w:r>
        <w:rPr>
          <w:color w:val="000000"/>
          <w:sz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(e)</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(f)</w:t>
        <w:tab/>
      </w:r>
      <w:r>
        <w:rPr>
          <w:b/>
          <w:color w:val="000000"/>
          <w:sz w:val="22"/>
        </w:rPr>
        <w:t>Payments on Early Termination.</w:t>
      </w:r>
      <w:r>
        <w:rPr>
          <w:color w:val="000000"/>
          <w:sz w:val="22"/>
        </w:rPr>
        <w:t xml:space="preserve">  For the purpose of Section 6(e):  (i) Loss will apply, and (ii) the Second Method will apply.</w:t>
      </w:r>
    </w:p>
    <w:p>
      <w:pPr>
        <w:pStyle w:val="Normal"/>
        <w:spacing w:lineRule="exact" w:line="240" w:before="240" w:after="0"/>
        <w:ind w:hanging="720" w:start="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(h)</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(i)</w:t>
      </w:r>
      <w:r>
        <w:rPr>
          <w:b/>
          <w:color w:val="000000"/>
          <w:sz w:val="22"/>
        </w:rPr>
        <w:tab/>
        <w:t>Additional Event of Default.</w:t>
      </w:r>
      <w:r>
        <w:rPr>
          <w:color w:val="000000"/>
          <w:sz w:val="22"/>
        </w:rPr>
        <w:t xml:space="preserve">  The following will constitute additional Events of Default for purposes of Section 5(a):</w:t>
      </w:r>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(ix)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US$50,000,000(or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(j)</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(k)</w:t>
      </w:r>
      <w:r>
        <w:rPr>
          <w:b/>
          <w:color w:val="000000"/>
          <w:sz w:val="22"/>
        </w:rPr>
        <w:tab/>
        <w:t>“Contractual Currency”</w:t>
      </w:r>
      <w:r>
        <w:rPr>
          <w:color w:val="000000"/>
          <w:sz w:val="22"/>
        </w:rPr>
        <w:t xml:space="preserve"> unless otherwise specified in a Confirmation, shall mean [Yen].</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 w:hAnsi="Times New Roman" w:cs="Times New Roman"/>
          <w:b/>
          <w:color w:val="000000"/>
          <w:sz w:val="22"/>
        </w:rPr>
      </w:pPr>
      <w:r>
        <w:rPr>
          <w:rFonts w:cs="Times New Roman" w:ascii="Times New Roman" w:hAnsi="Times New Roman"/>
          <w:b/>
          <w:color w:val="000000"/>
          <w:sz w:val="22"/>
        </w:rPr>
      </w:r>
    </w:p>
    <w:p>
      <w:pPr>
        <w:pStyle w:val="times"/>
        <w:autoSpaceDE w:val="false"/>
        <w:ind w:hanging="720" w:start="720" w:end="0"/>
        <w:textAlignment w:val="bottom"/>
        <w:rPr/>
      </w:pPr>
      <w:r>
        <w:rPr>
          <w:rFonts w:cs="Times New Roman" w:ascii="Times New Roman" w:hAnsi="Times New Roman"/>
        </w:rPr>
        <w:t>(a)</w:t>
        <w:tab/>
      </w:r>
      <w:r>
        <w:rPr>
          <w:rFonts w:cs="Times New Roman" w:ascii="Times New Roman" w:hAnsi="Times New Roman"/>
          <w:b/>
        </w:rPr>
        <w:t>Payer representations</w:t>
      </w:r>
      <w:r>
        <w:rPr>
          <w:rFonts w:cs="Times New Roman" w:ascii="Times New Roman" w:hAnsi="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rFonts w:ascii="Times New Roman" w:hAnsi="Times New Roman" w:cs="Times New Roman"/>
        </w:rPr>
      </w:pPr>
      <w:r>
        <w:rPr>
          <w:rFonts w:cs="Times New Roman" w:ascii="Times New Roman" w:hAnsi="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 w:hAnsi="Times New Roman" w:cs="Times New Roman"/>
        </w:rPr>
      </w:pPr>
      <w:r>
        <w:rPr>
          <w:rFonts w:cs="Times New Roman" w:ascii="Times New Roman" w:hAnsi="Times New Roman"/>
        </w:rPr>
      </w:r>
    </w:p>
    <w:p>
      <w:pPr>
        <w:pStyle w:val="times"/>
        <w:autoSpaceDE w:val="false"/>
        <w:ind w:hanging="720" w:start="720" w:end="0"/>
        <w:textAlignment w:val="bottom"/>
        <w:rPr/>
      </w:pPr>
      <w:r>
        <w:rPr>
          <w:rFonts w:cs="Times New Roman" w:ascii="Times New Roman" w:hAnsi="Times New Roman"/>
        </w:rPr>
        <w:t>(b)</w:t>
        <w:tab/>
      </w:r>
      <w:r>
        <w:rPr>
          <w:rFonts w:cs="Times New Roman" w:ascii="Times New Roman" w:hAnsi="Times New Roman"/>
          <w:b/>
        </w:rPr>
        <w:t>Payee Representations</w:t>
      </w:r>
      <w:r>
        <w:rPr>
          <w:rFonts w:cs="Times New Roman" w:ascii="Times New Roman" w:hAnsi="Times New Roman"/>
        </w:rPr>
        <w:t>.  For the purpose of Section 3(f) of this Agreement, Party A and Party B make no representations.]</w:t>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b/>
        </w:rPr>
      </w:pPr>
      <w:r>
        <w:rPr>
          <w:rFonts w:cs="Times New Roman" w:ascii="Times New Roman" w:hAnsi="Times New Roman"/>
          <w:b/>
        </w:rPr>
      </w:r>
    </w:p>
    <w:p>
      <w:pPr>
        <w:pStyle w:val="times"/>
        <w:autoSpaceDE w:val="false"/>
        <w:textAlignment w:val="bottom"/>
        <w:rPr>
          <w:rFonts w:ascii="Times New Roman" w:hAnsi="Times New Roman" w:cs="Times New Roman"/>
          <w:color w:val="000000"/>
        </w:rPr>
      </w:pPr>
      <w:r>
        <w:rPr>
          <w:rFonts w:cs="Times New Roman" w:ascii="Times New Roman" w:hAnsi="Times New Roman"/>
          <w:b/>
        </w:rPr>
        <w:t>Part 3.  Agreement to Deliver Documents.</w:t>
      </w:r>
    </w:p>
    <w:p>
      <w:pPr>
        <w:pStyle w:val="times"/>
        <w:autoSpaceDE w:val="false"/>
        <w:textAlignment w:val="bottom"/>
        <w:rPr>
          <w:rFonts w:ascii="Times New Roman" w:hAnsi="Times New Roman" w:cs="Times New Roman"/>
          <w:color w:val="000000"/>
        </w:rPr>
      </w:pPr>
      <w:r>
        <w:rPr>
          <w:rFonts w:cs="Times New Roman" w:ascii="Times New Roman" w:hAnsi="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386"/>
        <w:gridCol w:w="3870"/>
        <w:gridCol w:w="2970"/>
        <w:gridCol w:w="1530"/>
      </w:tblGrid>
      <w:tr>
        <w:trPr/>
        <w:tc>
          <w:tcPr>
            <w:tcW w:w="1386" w:type="dxa"/>
            <w:tcBorders/>
          </w:tcPr>
          <w:p>
            <w:pPr>
              <w:pStyle w:val="Normal"/>
              <w:spacing w:lineRule="atLeast" w:line="240" w:before="240" w:after="0"/>
              <w:rPr>
                <w:color w:val="000000"/>
              </w:rPr>
            </w:pPr>
            <w:r>
              <w:rPr>
                <w:b/>
                <w:color w:val="000000"/>
              </w:rPr>
              <w:t>Party required to deliver document</w:t>
            </w:r>
          </w:p>
        </w:tc>
        <w:tc>
          <w:tcPr>
            <w:tcW w:w="3870" w:type="dxa"/>
            <w:tcBorders/>
          </w:tcPr>
          <w:p>
            <w:pPr>
              <w:pStyle w:val="Normal"/>
              <w:spacing w:lineRule="atLeast" w:line="240" w:before="240" w:after="0"/>
              <w:rPr>
                <w:color w:val="000000"/>
                <w:u w:val="single"/>
              </w:rPr>
            </w:pPr>
            <w:r>
              <w:rPr>
                <w:b/>
                <w:color w:val="000000"/>
              </w:rPr>
              <w:t>Form/Document/Certificate</w:t>
            </w:r>
          </w:p>
        </w:tc>
        <w:tc>
          <w:tcPr>
            <w:tcW w:w="2970" w:type="dxa"/>
            <w:tcBorders/>
          </w:tcPr>
          <w:p>
            <w:pPr>
              <w:pStyle w:val="Normal"/>
              <w:spacing w:lineRule="atLeast" w:line="240" w:before="240" w:after="0"/>
              <w:rPr>
                <w:color w:val="000000"/>
              </w:rPr>
            </w:pPr>
            <w:r>
              <w:rPr>
                <w:b/>
                <w:color w:val="000000"/>
              </w:rPr>
              <w:t>Date by which to be delivered</w:t>
            </w:r>
          </w:p>
        </w:tc>
        <w:tc>
          <w:tcPr>
            <w:tcW w:w="1530" w:type="dxa"/>
            <w:tcBorders/>
          </w:tcPr>
          <w:p>
            <w:pPr>
              <w:pStyle w:val="Normal"/>
              <w:spacing w:lineRule="atLeast" w:line="240" w:before="240" w:after="0"/>
              <w:rPr>
                <w:color w:val="000000"/>
              </w:rPr>
            </w:pPr>
            <w:r>
              <w:rPr>
                <w:b/>
                <w:color w:val="000000"/>
              </w:rPr>
              <w:t>Covered by Section 3(d) Representation</w:t>
              <w:br/>
            </w:r>
          </w:p>
        </w:tc>
      </w:tr>
      <w:tr>
        <w:trPr/>
        <w:tc>
          <w:tcPr>
            <w:tcW w:w="138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p>
        </w:tc>
        <w:tc>
          <w:tcPr>
            <w:tcW w:w="297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530" w:type="dxa"/>
            <w:tcBorders/>
          </w:tcPr>
          <w:p>
            <w:pPr>
              <w:pStyle w:val="Normal"/>
              <w:snapToGrid w:val="false"/>
              <w:spacing w:lineRule="atLeast" w:line="240" w:before="240" w:after="0"/>
              <w:rPr>
                <w:color w:val="000000"/>
              </w:rPr>
            </w:pPr>
            <w:r>
              <w:rPr>
                <w:color w:val="000000"/>
              </w:rPr>
            </w:r>
          </w:p>
        </w:tc>
      </w:tr>
      <w:tr>
        <w:trPr/>
        <w:tc>
          <w:tcPr>
            <w:tcW w:w="1386" w:type="dxa"/>
            <w:tcBorders/>
          </w:tcPr>
          <w:p>
            <w:pPr>
              <w:pStyle w:val="Normal"/>
              <w:spacing w:lineRule="atLeast" w:line="240" w:before="240" w:after="0"/>
              <w:rPr>
                <w:b/>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Credit Support Documents specified in Part 4(d) duly executed by the representative director of the Credit Support Provider or, in the case of the Enron Corp. Guaranty, by a duly authorised officer of Enron Corp.</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Duly executed tax forms, documents, or certificates referenced in Part 3(a) above.</w:t>
            </w:r>
          </w:p>
        </w:tc>
        <w:tc>
          <w:tcPr>
            <w:tcW w:w="297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530" w:type="dxa"/>
            <w:tcBorders/>
          </w:tcPr>
          <w:p>
            <w:pPr>
              <w:pStyle w:val="Normal"/>
              <w:spacing w:lineRule="atLeast" w:line="240" w:before="240" w:after="0"/>
              <w:jc w:val="both"/>
              <w:rPr>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color w:val="000000"/>
              </w:rPr>
            </w:pPr>
            <w:r>
              <w:rPr>
                <w:rFonts w:cs="Times New Roman" w:ascii="Times New Roman" w:hAnsi="Times New Roman"/>
                <w:color w:val="000000"/>
              </w:rPr>
              <w:t>The corporate register (</w:t>
            </w:r>
            <w:r>
              <w:rPr>
                <w:rFonts w:cs="Times New Roman" w:ascii="Times New Roman" w:hAnsi="Times New Roman"/>
                <w:i/>
                <w:color w:val="000000"/>
              </w:rPr>
              <w:t>tokibo tohon</w:t>
            </w:r>
            <w:r>
              <w:rPr>
                <w:rFonts w:cs="Times New Roman" w:ascii="Times New Roman" w:hAnsi="Times New Roman"/>
                <w:color w:val="000000"/>
              </w:rPr>
              <w:t>), articles of incorporation (</w:t>
            </w:r>
            <w:r>
              <w:rPr>
                <w:rFonts w:cs="Times New Roman" w:ascii="Times New Roman" w:hAnsi="Times New Roman"/>
                <w:i/>
                <w:color w:val="000000"/>
              </w:rPr>
              <w:t>teikan</w:t>
            </w:r>
            <w:r>
              <w:rPr>
                <w:rFonts w:cs="Times New Roman" w:ascii="Times New Roman" w:hAnsi="Times New Roman"/>
                <w:color w:val="000000"/>
              </w:rPr>
              <w:t>) and board rules (</w:t>
            </w:r>
            <w:r>
              <w:rPr>
                <w:rFonts w:cs="Times New Roman" w:ascii="Times New Roman" w:hAnsi="Times New Roman"/>
                <w:i/>
                <w:color w:val="000000"/>
              </w:rPr>
              <w:t>torishimariya-kai ketsugi</w:t>
            </w:r>
            <w:r>
              <w:rPr>
                <w:rFonts w:cs="Times New Roman" w:ascii="Times New Roman" w:hAnsi="Times New Roman"/>
                <w:color w:val="000000"/>
              </w:rPr>
              <w:t>) (if any) of each party and its Credit Support Providers (if any) or, in the case of the Enron Corp. Guaranty, evidence of corporate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end="0"/>
              <w:rPr>
                <w:rFonts w:ascii="Times New Roman" w:hAnsi="Times New Roman" w:cs="Times New Roman"/>
              </w:rPr>
            </w:pPr>
            <w:r>
              <w:rPr>
                <w:rFonts w:cs="Times New Roman" w:ascii="Times New Roman" w:hAnsi="Times New Roman"/>
              </w:rPr>
              <w:t xml:space="preserve">The seal certificate or signature certificate (as applicable) for the representative director of the party and its Credit Support Providers (if any) </w:t>
            </w:r>
            <w:r>
              <w:rPr>
                <w:rFonts w:cs="Times New Roman" w:ascii="Times New Roman" w:hAnsi="Times New Roman"/>
                <w:color w:val="000000"/>
              </w:rPr>
              <w:t>or, in the case of the Enron Corp. Guaranty, evidence of signing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Annual Audited Consolidated Financial Statement of Enron Corp.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A</w:t>
            </w:r>
          </w:p>
        </w:tc>
        <w:tc>
          <w:tcPr>
            <w:tcW w:w="387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Annual Audited Consolidated Financial Statements of Party B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Promptly following demand by Party A, but in no event later than 120 days after the end of each fiscal year of Party B.</w:t>
            </w:r>
          </w:p>
        </w:tc>
        <w:tc>
          <w:tcPr>
            <w:tcW w:w="15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386" w:type="dxa"/>
            <w:tcBorders/>
          </w:tcPr>
          <w:p>
            <w:pPr>
              <w:pStyle w:val="Normal"/>
              <w:spacing w:lineRule="atLeast" w:line="240" w:before="240" w:after="0"/>
              <w:jc w:val="both"/>
              <w:rPr>
                <w:color w:val="000000"/>
              </w:rPr>
            </w:pPr>
            <w:r>
              <w:rPr>
                <w:color w:val="000000"/>
              </w:rPr>
              <w:t>Party B</w:t>
            </w:r>
          </w:p>
        </w:tc>
        <w:tc>
          <w:tcPr>
            <w:tcW w:w="3870" w:type="dxa"/>
            <w:tcBorders/>
          </w:tcPr>
          <w:p>
            <w:pPr>
              <w:pStyle w:val="Normal"/>
              <w:spacing w:lineRule="atLeast" w:line="240" w:before="240" w:after="0"/>
              <w:jc w:val="both"/>
              <w:rPr>
                <w:color w:val="000000"/>
              </w:rPr>
            </w:pPr>
            <w:r>
              <w:rPr>
                <w:color w:val="000000"/>
              </w:rPr>
              <w:t>Semi-annual Unaudited Consolidated Financial Statement of Party B.</w:t>
            </w:r>
          </w:p>
        </w:tc>
        <w:tc>
          <w:tcPr>
            <w:tcW w:w="2970" w:type="dxa"/>
            <w:tcBorders/>
          </w:tcPr>
          <w:p>
            <w:pPr>
              <w:pStyle w:val="Normal"/>
              <w:spacing w:lineRule="atLeast" w:line="240" w:before="240" w:after="0"/>
              <w:jc w:val="both"/>
              <w:rPr>
                <w:color w:val="000000"/>
              </w:rPr>
            </w:pPr>
            <w:r>
              <w:rPr>
                <w:color w:val="000000"/>
              </w:rPr>
              <w:t>Promptly following demand by Party A, but in no event later than 60 days after the end of each of the first three fiscal quarters of each fiscal year of Party B.</w:t>
            </w:r>
          </w:p>
        </w:tc>
        <w:tc>
          <w:tcPr>
            <w:tcW w:w="1530" w:type="dxa"/>
            <w:tcBorders/>
          </w:tcPr>
          <w:p>
            <w:pPr>
              <w:pStyle w:val="Normal"/>
              <w:spacing w:lineRule="atLeast" w:line="240" w:before="240" w:after="0"/>
              <w:jc w:val="both"/>
              <w:rPr>
                <w:color w:val="000000"/>
              </w:rPr>
            </w:pPr>
            <w:r>
              <w:rPr>
                <w:color w:val="000000"/>
              </w:rPr>
              <w:t>Yes</w:t>
            </w:r>
          </w:p>
        </w:tc>
      </w:tr>
    </w:tbl>
    <w:p>
      <w:pPr>
        <w:pStyle w:val="Normal"/>
        <w:spacing w:lineRule="exact" w:line="240" w:before="240" w:after="0"/>
        <w:jc w:val="both"/>
        <w:rPr>
          <w:b/>
          <w:color w:val="000000"/>
          <w:sz w:val="22"/>
        </w:rPr>
      </w:pPr>
      <w:r>
        <w:rPr>
          <w:b/>
          <w:color w:val="000000"/>
          <w:sz w:val="22"/>
        </w:rPr>
        <w:t>Part 4.  Miscellaneous.</w:t>
      </w:r>
    </w:p>
    <w:p>
      <w:pPr>
        <w:pStyle w:val="Normal"/>
        <w:spacing w:lineRule="exact" w:line="240" w:before="24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Legal Department</w:t>
            </w:r>
          </w:p>
          <w:p>
            <w:pPr>
              <w:pStyle w:val="Heading2"/>
              <w:spacing w:before="0" w:after="0"/>
              <w:rPr>
                <w:rFonts w:ascii="Times New Roman" w:hAnsi="Times New Roman" w:cs="Times New Roman"/>
                <w:color w:val="000000"/>
              </w:rPr>
            </w:pPr>
            <w:r>
              <w:rPr>
                <w:rFonts w:cs="Times New Roman" w:ascii="Times New Roman" w:hAnsi="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none, Enron Corp., and (ii) Credit Support Provider means in relation to Party B, none.</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p>
    <w:p>
      <w:pPr>
        <w:pStyle w:val="Normal"/>
        <w:spacing w:lineRule="exact" w:line="240" w:before="240" w:after="0"/>
        <w:ind w:hanging="720" w:start="1440" w:end="0"/>
        <w:jc w:val="both"/>
        <w:rPr>
          <w:color w:val="000000"/>
          <w:sz w:val="22"/>
        </w:rPr>
      </w:pPr>
      <w:r>
        <w:rPr>
          <w:color w:val="000000"/>
          <w:sz w:val="22"/>
        </w:rPr>
        <w:tab/>
        <w:t>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rStyle w:val="FootnoteCharacters"/>
          <w:color w:val="000000"/>
          <w:sz w:val="20"/>
        </w:rPr>
        <w:t xml:space="preserve"> </w:t>
      </w:r>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before="240" w:after="0"/>
        <w:ind w:hanging="720" w:start="720" w:end="0"/>
        <w:jc w:val="both"/>
        <w:rPr>
          <w:color w:val="000000"/>
          <w:sz w:val="22"/>
        </w:rPr>
      </w:pPr>
      <w:r>
        <w:rPr>
          <w:color w:val="000000"/>
          <w:sz w:val="22"/>
        </w:rPr>
        <w:tab/>
        <w:t>“(c)  Party Aand/or Party B may transfer its rights and obligations under this Agreement, in whole but not in part, to any Affiliate so long as the obligations of such Affiliate are guaranteed by Enron Corp. , with respect to Party A, and The Industrial Bank of Japan, Ltd., with respect to Party B,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hanging="720" w:start="720" w:end="0"/>
        <w:jc w:val="both"/>
        <w:rPr/>
      </w:pPr>
      <w:r>
        <w:rPr>
          <w:sz w:val="22"/>
        </w:rPr>
        <w:t xml:space="preserve"> </w:t>
      </w: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rPr>
      </w:pPr>
      <w:r>
        <w:rPr>
          <w:rFonts w:cs="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color w:val="000000"/>
          <w:sz w:val="22"/>
        </w:rPr>
      </w:pPr>
      <w:r>
        <w:rPr>
          <w:color w:val="000000"/>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JAPAN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THE INDUSTRIAL BANK OF JAPAN, LTD.</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(PARAGRAPH 13)</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p>
    <w:sectPr>
      <w:type w:val="nextPage"/>
      <w:pgSz w:w="11906" w:h="16838"/>
      <w:pgMar w:left="1440" w:right="1440" w:gutter="0" w:header="0" w:top="1440" w:footer="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明朝">
    <w:altName w:val="MS Gothic"/>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明朝;MS Gothic" w:hAnsi="明朝;MS Gothic" w:eastAsia="明朝;MS Gothic" w:cs="Century"/>
      <w:sz w:val="22"/>
      <w:lang w:eastAsia="ja-JP"/>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2000-08-30T04:51:00Z</dcterms:created>
  <dc:creator>mheard</dc:creator>
  <dc:description/>
  <dc:language>en-CA</dc:language>
  <cp:lastModifiedBy>TALO - B&amp;M User</cp:lastModifiedBy>
  <cp:lastPrinted>2000-08-30T10:15:00Z</cp:lastPrinted>
  <dcterms:modified xsi:type="dcterms:W3CDTF">2000-08-30T05:25:00Z</dcterms:modified>
  <cp:revision>6</cp:revision>
  <dc:subject/>
  <dc:title>ISDA Multicurrency Agreement</dc:title>
</cp:coreProperties>
</file>