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bookmarkStart w:id="0" w:name="_1029746144"/>
            <w:bookmarkEnd w:id="0"/>
            <w:r>
              <w:rPr>
                <w:sz w:val="22"/>
              </w:rPr>
              <w:object w:dxaOrig="1636" w:dyaOrig="162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1.8pt;height:81.05pt" filled="f" o:ole="">
                  <v:imagedata r:id="rId3" o:title=""/>
                </v:shape>
                <o:OLEObject Type="Embed" ProgID="" ShapeID="ole_rId2" DrawAspect="Content" ObjectID="_1054577986" r:id="rId2"/>
              </w:object>
            </w:r>
          </w:p>
        </w:tc>
        <w:tc>
          <w:tcPr>
            <w:tcW w:w="4878" w:type="dxa"/>
            <w:tcBorders/>
          </w:tcPr>
          <w:p>
            <w:pPr>
              <w:pStyle w:val="Normal"/>
              <w:tabs>
                <w:tab w:val="clear" w:pos="720"/>
                <w:tab w:val="left" w:pos="2412" w:leader="none"/>
              </w:tabs>
              <w:snapToGrid w:val="false"/>
              <w:ind w:start="1782" w:end="0"/>
              <w:jc w:val="end"/>
              <w:rPr>
                <w:b/>
                <w:sz w:val="22"/>
              </w:rPr>
            </w:pPr>
            <w:r>
              <w:rPr>
                <w:b/>
                <w:sz w:val="22"/>
              </w:rPr>
            </w:r>
          </w:p>
          <w:p>
            <w:pPr>
              <w:pStyle w:val="Normal"/>
              <w:tabs>
                <w:tab w:val="clear" w:pos="720"/>
                <w:tab w:val="left" w:pos="2412" w:leader="none"/>
              </w:tabs>
              <w:ind w:start="1782" w:end="0"/>
              <w:jc w:val="end"/>
              <w:rPr>
                <w:b/>
              </w:rPr>
            </w:pPr>
            <w:r>
              <w:rPr>
                <w:b/>
              </w:rPr>
              <w:t>Enron North America Corp.</w:t>
            </w:r>
          </w:p>
          <w:p>
            <w:pPr>
              <w:pStyle w:val="Normal"/>
              <w:tabs>
                <w:tab w:val="clear" w:pos="720"/>
                <w:tab w:val="left" w:pos="2412" w:leader="none"/>
              </w:tabs>
              <w:ind w:start="1782" w:end="0"/>
              <w:jc w:val="end"/>
              <w:rPr>
                <w:i/>
                <w:i/>
              </w:rPr>
            </w:pPr>
            <w:r>
              <w:rPr>
                <w:i/>
              </w:rPr>
              <w:t>P.O. Box 4428</w:t>
            </w:r>
          </w:p>
          <w:p>
            <w:pPr>
              <w:pStyle w:val="Normal"/>
              <w:tabs>
                <w:tab w:val="clear" w:pos="720"/>
                <w:tab w:val="left" w:pos="2412" w:leader="none"/>
              </w:tabs>
              <w:ind w:start="1782" w:end="0"/>
              <w:jc w:val="end"/>
              <w:rPr>
                <w:i/>
                <w:i/>
              </w:rPr>
            </w:pPr>
            <w:r>
              <w:rPr>
                <w:i/>
              </w:rPr>
              <w:t>Houston, TX  77210-4428</w:t>
            </w:r>
          </w:p>
          <w:p>
            <w:pPr>
              <w:pStyle w:val="Normal"/>
              <w:tabs>
                <w:tab w:val="clear" w:pos="720"/>
                <w:tab w:val="left" w:pos="2412" w:leader="none"/>
              </w:tabs>
              <w:ind w:start="1782" w:end="0"/>
              <w:jc w:val="end"/>
              <w:rPr>
                <w:i/>
                <w:i/>
              </w:rPr>
            </w:pPr>
            <w:r>
              <w:rPr>
                <w:i/>
              </w:rPr>
              <w:t>Phone: (713) 853-3300</w:t>
            </w:r>
          </w:p>
          <w:p>
            <w:pPr>
              <w:pStyle w:val="Normal"/>
              <w:tabs>
                <w:tab w:val="clear" w:pos="720"/>
                <w:tab w:val="left" w:pos="2412" w:leader="none"/>
              </w:tabs>
              <w:ind w:start="1782" w:end="0"/>
              <w:jc w:val="end"/>
              <w:rPr>
                <w:i/>
                <w:i/>
              </w:rPr>
            </w:pPr>
            <w:r>
              <w:rPr>
                <w:i/>
              </w:rPr>
              <w:t>Fax:  (713) 646-4816</w:t>
            </w:r>
          </w:p>
          <w:p>
            <w:pPr>
              <w:pStyle w:val="Normal"/>
              <w:tabs>
                <w:tab w:val="clear" w:pos="720"/>
                <w:tab w:val="left" w:pos="2412" w:leader="none"/>
              </w:tabs>
              <w:ind w:start="1782" w:end="0"/>
              <w:rPr>
                <w:i/>
                <w:i/>
              </w:rPr>
            </w:pPr>
            <w:r>
              <w:rPr>
                <w:i/>
              </w:rPr>
            </w:r>
          </w:p>
        </w:tc>
      </w:tr>
    </w:tbl>
    <w:p>
      <w:pPr>
        <w:pStyle w:val="Normal"/>
        <w:jc w:val="center"/>
        <w:rPr/>
      </w:pPr>
      <w:r>
        <w:rPr/>
      </w:r>
    </w:p>
    <w:p>
      <w:pPr>
        <w:pStyle w:val="Normal"/>
        <w:jc w:val="center"/>
        <w:rPr/>
      </w:pPr>
      <w:r>
        <w:rPr/>
      </w:r>
    </w:p>
    <w:p>
      <w:pPr>
        <w:pStyle w:val="Normal"/>
        <w:jc w:val="center"/>
        <w:rPr/>
      </w:pPr>
      <w:r>
        <w:rPr/>
      </w:r>
    </w:p>
    <w:p>
      <w:pPr>
        <w:pStyle w:val="Heading6"/>
        <w:ind w:hanging="0" w:start="0"/>
        <w:rPr/>
      </w:pPr>
      <w:r>
        <w:rPr/>
        <w:t>CONFIRMATION</w:t>
      </w:r>
    </w:p>
    <w:p>
      <w:pPr>
        <w:pStyle w:val="Normal"/>
        <w:jc w:val="center"/>
        <w:rPr/>
      </w:pPr>
      <w:r>
        <w:rPr/>
      </w:r>
    </w:p>
    <w:p>
      <w:pPr>
        <w:pStyle w:val="Normal"/>
        <w:jc w:val="center"/>
        <w:rPr/>
      </w:pPr>
      <w:r>
        <w:rPr/>
      </w:r>
    </w:p>
    <w:p>
      <w:pPr>
        <w:pStyle w:val="Normal"/>
        <w:rPr/>
      </w:pPr>
      <w:r>
        <w:rPr/>
        <w:t>September ___, 2000</w:t>
      </w:r>
    </w:p>
    <w:p>
      <w:pPr>
        <w:pStyle w:val="Normal"/>
        <w:rPr/>
      </w:pPr>
      <w:r>
        <w:rPr/>
      </w:r>
    </w:p>
    <w:p>
      <w:pPr>
        <w:pStyle w:val="Index1"/>
        <w:rPr>
          <w:rFonts w:ascii="Times New Roman" w:hAnsi="Times New Roman" w:cs="Times New Roman"/>
        </w:rPr>
      </w:pPr>
      <w:r>
        <w:rPr>
          <w:rFonts w:cs="Times New Roman" w:ascii="Times New Roman" w:hAnsi="Times New Roman"/>
        </w:rPr>
        <w:t>Industrial Bank of Japan</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 011 81 3 __________________</w:t>
      </w:r>
    </w:p>
    <w:p>
      <w:pPr>
        <w:pStyle w:val="Normal"/>
        <w:rPr/>
      </w:pPr>
      <w:r>
        <w:rPr/>
        <w:t>Telephone No.: 011 81 3_____________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Industrial Bank of Japan (“Counterparty”) and Enron North America Corp. (“ENA”) on September ____,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2000 between ___________ of ENA and ____________ of Counterparty.</w:t>
      </w:r>
    </w:p>
    <w:p>
      <w:pPr>
        <w:pStyle w:val="Normal"/>
        <w:jc w:val="both"/>
        <w:rPr/>
      </w:pPr>
      <w:r>
        <w:rPr/>
      </w:r>
    </w:p>
    <w:p>
      <w:pPr>
        <w:pStyle w:val="BodyText"/>
        <w:rPr/>
      </w:pPr>
      <w:r>
        <w:rPr/>
        <w:t>1.</w:t>
        <w:tab/>
        <w:t>The definitions and provisions contained in the 1991 ISDA Definitions and the 1993 ISDA Commodity Derivatives Definitions, each as published by the International Swaps and Derivatives Association, Inc. (“ISDA”) and as may have been modified, amended or replaced from time to time as of the date hereof (the “Definitions”),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 xml:space="preserve">2. </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ind w:firstLine="720" w:end="-108"/>
              <w:rPr/>
            </w:pPr>
            <w:r>
              <w:rPr/>
              <w:t>Type of Transaction:</w:t>
            </w:r>
          </w:p>
        </w:tc>
        <w:tc>
          <w:tcPr>
            <w:tcW w:w="5580" w:type="dxa"/>
            <w:tcBorders/>
          </w:tcPr>
          <w:p>
            <w:pPr>
              <w:pStyle w:val="Normal"/>
              <w:ind w:start="-18" w:end="0"/>
              <w:rPr/>
            </w:pPr>
            <w:r>
              <w:rPr/>
              <w:t>Cap Option</w:t>
            </w:r>
          </w:p>
        </w:tc>
      </w:tr>
      <w:tr>
        <w:trPr/>
        <w:tc>
          <w:tcPr>
            <w:tcW w:w="4338" w:type="dxa"/>
            <w:tcBorders/>
          </w:tcPr>
          <w:p>
            <w:pPr>
              <w:pStyle w:val="Normal"/>
              <w:snapToGrid w:val="false"/>
              <w:ind w:firstLine="720" w:end="0"/>
              <w:rPr/>
            </w:pPr>
            <w:r>
              <w:rPr/>
            </w:r>
          </w:p>
        </w:tc>
        <w:tc>
          <w:tcPr>
            <w:tcW w:w="5580" w:type="dxa"/>
            <w:tcBorders/>
          </w:tcPr>
          <w:p>
            <w:pPr>
              <w:pStyle w:val="Normal"/>
              <w:snapToGrid w:val="false"/>
              <w:ind w:start="-18" w:end="0"/>
              <w:rPr/>
            </w:pPr>
            <w:r>
              <w:rPr/>
            </w:r>
          </w:p>
        </w:tc>
      </w:tr>
      <w:tr>
        <w:trPr/>
        <w:tc>
          <w:tcPr>
            <w:tcW w:w="4338" w:type="dxa"/>
            <w:tcBorders/>
          </w:tcPr>
          <w:p>
            <w:pPr>
              <w:pStyle w:val="Normal"/>
              <w:ind w:firstLine="720" w:end="0"/>
              <w:rPr/>
            </w:pPr>
            <w:r>
              <w:rPr/>
              <w:t>Notional Quantity per</w:t>
            </w:r>
          </w:p>
          <w:p>
            <w:pPr>
              <w:pStyle w:val="Normal"/>
              <w:ind w:firstLine="720" w:end="0"/>
              <w:rPr/>
            </w:pPr>
            <w:r>
              <w:rPr/>
              <w:t>Calculation Period:</w:t>
            </w:r>
          </w:p>
        </w:tc>
        <w:tc>
          <w:tcPr>
            <w:tcW w:w="5580" w:type="dxa"/>
            <w:tcBorders/>
          </w:tcPr>
          <w:p>
            <w:pPr>
              <w:pStyle w:val="Normal"/>
              <w:snapToGrid w:val="false"/>
              <w:ind w:firstLine="720" w:end="0"/>
              <w:rPr/>
            </w:pPr>
            <w:r>
              <w:rPr/>
            </w:r>
          </w:p>
          <w:p>
            <w:pPr>
              <w:pStyle w:val="Normal"/>
              <w:rPr>
                <w:color w:val="FF0000"/>
              </w:rPr>
            </w:pPr>
            <w:r>
              <w:rPr>
                <w:color w:val="FF0000"/>
              </w:rPr>
              <w:t>&lt;&lt;To be determined&gt;&gt;</w:t>
            </w:r>
          </w:p>
        </w:tc>
      </w:tr>
      <w:tr>
        <w:trPr/>
        <w:tc>
          <w:tcPr>
            <w:tcW w:w="4338" w:type="dxa"/>
            <w:tcBorders/>
          </w:tcPr>
          <w:p>
            <w:pPr>
              <w:pStyle w:val="Normal"/>
              <w:snapToGrid w:val="false"/>
              <w:ind w:firstLine="720" w:end="0"/>
              <w:rPr>
                <w:color w:val="FF0000"/>
              </w:rPr>
            </w:pPr>
            <w:r>
              <w:rPr>
                <w:color w:val="FF0000"/>
              </w:rPr>
            </w:r>
          </w:p>
        </w:tc>
        <w:tc>
          <w:tcPr>
            <w:tcW w:w="5580" w:type="dxa"/>
            <w:tcBorders/>
          </w:tcPr>
          <w:p>
            <w:pPr>
              <w:pStyle w:val="Normal"/>
              <w:snapToGrid w:val="false"/>
              <w:ind w:firstLine="720" w:end="0"/>
              <w:rPr/>
            </w:pPr>
            <w:r>
              <w:rPr/>
            </w:r>
          </w:p>
        </w:tc>
      </w:tr>
      <w:tr>
        <w:trPr/>
        <w:tc>
          <w:tcPr>
            <w:tcW w:w="4338" w:type="dxa"/>
            <w:tcBorders/>
          </w:tcPr>
          <w:p>
            <w:pPr>
              <w:pStyle w:val="Normal"/>
              <w:ind w:firstLine="720" w:end="0"/>
              <w:rPr/>
            </w:pPr>
            <w:r>
              <w:rPr/>
              <w:t xml:space="preserve">Total Notional Quantity: </w:t>
            </w:r>
          </w:p>
        </w:tc>
        <w:tc>
          <w:tcPr>
            <w:tcW w:w="5580" w:type="dxa"/>
            <w:tcBorders/>
          </w:tcPr>
          <w:p>
            <w:pPr>
              <w:pStyle w:val="Normal"/>
              <w:ind w:start="-18" w:end="0"/>
              <w:rPr>
                <w:color w:val="FF0000"/>
              </w:rPr>
            </w:pPr>
            <w:r>
              <w:rPr>
                <w:color w:val="FF0000"/>
              </w:rPr>
              <w:t>&lt;&lt;To be determined&gt;&gt;</w:t>
            </w:r>
          </w:p>
        </w:tc>
      </w:tr>
      <w:tr>
        <w:trPr/>
        <w:tc>
          <w:tcPr>
            <w:tcW w:w="4338" w:type="dxa"/>
            <w:tcBorders/>
          </w:tcPr>
          <w:p>
            <w:pPr>
              <w:pStyle w:val="Normal"/>
              <w:snapToGrid w:val="false"/>
              <w:ind w:firstLine="720" w:end="0"/>
              <w:rPr>
                <w:color w:val="FF0000"/>
              </w:rPr>
            </w:pPr>
            <w:r>
              <w:rPr>
                <w:color w:val="FF0000"/>
              </w:rPr>
            </w:r>
          </w:p>
        </w:tc>
        <w:tc>
          <w:tcPr>
            <w:tcW w:w="5580" w:type="dxa"/>
            <w:tcBorders/>
          </w:tcPr>
          <w:p>
            <w:pPr>
              <w:pStyle w:val="Normal"/>
              <w:snapToGrid w:val="false"/>
              <w:rPr/>
            </w:pPr>
            <w:r>
              <w:rPr/>
            </w:r>
          </w:p>
        </w:tc>
      </w:tr>
      <w:tr>
        <w:trPr/>
        <w:tc>
          <w:tcPr>
            <w:tcW w:w="4338" w:type="dxa"/>
            <w:tcBorders/>
          </w:tcPr>
          <w:p>
            <w:pPr>
              <w:pStyle w:val="Normal"/>
              <w:ind w:firstLine="720" w:end="0"/>
              <w:rPr/>
            </w:pPr>
            <w:r>
              <w:rPr/>
              <w:t>Commodity:</w:t>
            </w:r>
          </w:p>
        </w:tc>
        <w:tc>
          <w:tcPr>
            <w:tcW w:w="5580" w:type="dxa"/>
            <w:tcBorders/>
          </w:tcPr>
          <w:p>
            <w:pPr>
              <w:pStyle w:val="Normal"/>
              <w:rPr/>
            </w:pPr>
            <w:r>
              <w:rPr/>
              <w:t>Random Length Lumber</w:t>
            </w:r>
          </w:p>
        </w:tc>
      </w:tr>
      <w:tr>
        <w:trPr/>
        <w:tc>
          <w:tcPr>
            <w:tcW w:w="4338" w:type="dxa"/>
            <w:tcBorders/>
          </w:tcPr>
          <w:p>
            <w:pPr>
              <w:pStyle w:val="Normal"/>
              <w:snapToGrid w:val="false"/>
              <w:ind w:firstLine="720" w:end="0"/>
              <w:rPr/>
            </w:pPr>
            <w:r>
              <w:rPr/>
            </w:r>
          </w:p>
        </w:tc>
        <w:tc>
          <w:tcPr>
            <w:tcW w:w="5580" w:type="dxa"/>
            <w:tcBorders/>
          </w:tcPr>
          <w:p>
            <w:pPr>
              <w:pStyle w:val="Normal"/>
              <w:snapToGrid w:val="false"/>
              <w:ind w:firstLine="720" w:end="0"/>
              <w:rPr/>
            </w:pPr>
            <w:r>
              <w:rPr/>
            </w:r>
          </w:p>
        </w:tc>
      </w:tr>
      <w:tr>
        <w:trPr/>
        <w:tc>
          <w:tcPr>
            <w:tcW w:w="4338" w:type="dxa"/>
            <w:tcBorders/>
          </w:tcPr>
          <w:p>
            <w:pPr>
              <w:pStyle w:val="Normal"/>
              <w:ind w:firstLine="720" w:end="0"/>
              <w:rPr/>
            </w:pPr>
            <w:r>
              <w:rPr/>
              <w:t>Commodity Unit:</w:t>
            </w:r>
          </w:p>
        </w:tc>
        <w:tc>
          <w:tcPr>
            <w:tcW w:w="5580" w:type="dxa"/>
            <w:tcBorders/>
          </w:tcPr>
          <w:p>
            <w:pPr>
              <w:pStyle w:val="Normal"/>
              <w:rPr/>
            </w:pPr>
            <w:r>
              <w:rPr/>
              <w:t>MBF (Thousand Board Feet Measure)</w:t>
            </w:r>
          </w:p>
        </w:tc>
      </w:tr>
      <w:tr>
        <w:trPr/>
        <w:tc>
          <w:tcPr>
            <w:tcW w:w="4338" w:type="dxa"/>
            <w:tcBorders/>
          </w:tcPr>
          <w:p>
            <w:pPr>
              <w:pStyle w:val="Normal"/>
              <w:snapToGrid w:val="false"/>
              <w:ind w:firstLine="720" w:end="0"/>
              <w:rPr/>
            </w:pPr>
            <w:r>
              <w:rPr/>
            </w:r>
          </w:p>
        </w:tc>
        <w:tc>
          <w:tcPr>
            <w:tcW w:w="5580" w:type="dxa"/>
            <w:tcBorders/>
          </w:tcPr>
          <w:p>
            <w:pPr>
              <w:pStyle w:val="Normal"/>
              <w:snapToGrid w:val="false"/>
              <w:ind w:firstLine="720" w:end="0"/>
              <w:rPr/>
            </w:pPr>
            <w:r>
              <w:rPr/>
            </w:r>
          </w:p>
        </w:tc>
      </w:tr>
      <w:tr>
        <w:trPr/>
        <w:tc>
          <w:tcPr>
            <w:tcW w:w="4338" w:type="dxa"/>
            <w:tcBorders/>
          </w:tcPr>
          <w:p>
            <w:pPr>
              <w:pStyle w:val="Normal"/>
              <w:ind w:firstLine="720" w:end="0"/>
              <w:rPr/>
            </w:pPr>
            <w:r>
              <w:rPr/>
              <w:t>Trade Date:</w:t>
            </w:r>
          </w:p>
        </w:tc>
        <w:tc>
          <w:tcPr>
            <w:tcW w:w="5580" w:type="dxa"/>
            <w:tcBorders/>
          </w:tcPr>
          <w:p>
            <w:pPr>
              <w:pStyle w:val="Normal"/>
              <w:ind w:hanging="18" w:end="0"/>
              <w:rPr/>
            </w:pPr>
            <w:r>
              <w:rPr/>
              <w:t>September __, 2000</w:t>
            </w:r>
          </w:p>
        </w:tc>
      </w:tr>
      <w:tr>
        <w:trPr/>
        <w:tc>
          <w:tcPr>
            <w:tcW w:w="4338" w:type="dxa"/>
            <w:tcBorders/>
          </w:tcPr>
          <w:p>
            <w:pPr>
              <w:pStyle w:val="Normal"/>
              <w:snapToGrid w:val="false"/>
              <w:ind w:firstLine="720" w:end="0"/>
              <w:jc w:val="both"/>
              <w:rPr/>
            </w:pPr>
            <w:r>
              <w:rPr/>
            </w:r>
          </w:p>
        </w:tc>
        <w:tc>
          <w:tcPr>
            <w:tcW w:w="5580" w:type="dxa"/>
            <w:tcBorders/>
          </w:tcPr>
          <w:p>
            <w:pPr>
              <w:pStyle w:val="Normal"/>
              <w:snapToGrid w:val="false"/>
              <w:ind w:start="-18" w:end="0"/>
              <w:jc w:val="both"/>
              <w:rPr/>
            </w:pPr>
            <w:r>
              <w:rPr/>
            </w:r>
          </w:p>
        </w:tc>
      </w:tr>
      <w:tr>
        <w:trPr/>
        <w:tc>
          <w:tcPr>
            <w:tcW w:w="4338" w:type="dxa"/>
            <w:tcBorders/>
          </w:tcPr>
          <w:p>
            <w:pPr>
              <w:pStyle w:val="Normal"/>
              <w:ind w:firstLine="720" w:end="0"/>
              <w:jc w:val="both"/>
              <w:rPr/>
            </w:pPr>
            <w:r>
              <w:rPr/>
              <w:t>Effective Date:</w:t>
            </w:r>
          </w:p>
        </w:tc>
        <w:tc>
          <w:tcPr>
            <w:tcW w:w="5580" w:type="dxa"/>
            <w:tcBorders/>
          </w:tcPr>
          <w:p>
            <w:pPr>
              <w:pStyle w:val="Normal"/>
              <w:ind w:start="-18" w:end="0"/>
              <w:jc w:val="both"/>
              <w:rPr/>
            </w:pPr>
            <w:r>
              <w:rPr/>
              <w:t>October 1, 2000</w:t>
            </w:r>
          </w:p>
        </w:tc>
      </w:tr>
      <w:tr>
        <w:trPr/>
        <w:tc>
          <w:tcPr>
            <w:tcW w:w="4338" w:type="dxa"/>
            <w:tcBorders/>
          </w:tcPr>
          <w:p>
            <w:pPr>
              <w:pStyle w:val="Normal"/>
              <w:snapToGrid w:val="false"/>
              <w:ind w:firstLine="720" w:end="0"/>
              <w:jc w:val="both"/>
              <w:rPr/>
            </w:pPr>
            <w:r>
              <w:rPr/>
            </w:r>
          </w:p>
        </w:tc>
        <w:tc>
          <w:tcPr>
            <w:tcW w:w="5580" w:type="dxa"/>
            <w:tcBorders/>
          </w:tcPr>
          <w:p>
            <w:pPr>
              <w:pStyle w:val="Normal"/>
              <w:snapToGrid w:val="false"/>
              <w:ind w:start="-18" w:end="0"/>
              <w:jc w:val="both"/>
              <w:rPr/>
            </w:pPr>
            <w:r>
              <w:rPr/>
            </w:r>
          </w:p>
        </w:tc>
      </w:tr>
      <w:tr>
        <w:trPr/>
        <w:tc>
          <w:tcPr>
            <w:tcW w:w="4338" w:type="dxa"/>
            <w:tcBorders/>
          </w:tcPr>
          <w:p>
            <w:pPr>
              <w:pStyle w:val="Normal"/>
              <w:ind w:firstLine="720" w:end="0"/>
              <w:jc w:val="both"/>
              <w:rPr/>
            </w:pPr>
            <w:r>
              <w:rPr/>
              <w:t>Termination Date:</w:t>
            </w:r>
          </w:p>
        </w:tc>
        <w:tc>
          <w:tcPr>
            <w:tcW w:w="5580" w:type="dxa"/>
            <w:tcBorders/>
          </w:tcPr>
          <w:p>
            <w:pPr>
              <w:pStyle w:val="Normal"/>
              <w:ind w:start="-18" w:end="0"/>
              <w:jc w:val="both"/>
              <w:rPr/>
            </w:pPr>
            <w:r>
              <w:rPr/>
              <w:t>March 31, 2001</w:t>
            </w:r>
          </w:p>
        </w:tc>
      </w:tr>
    </w:tbl>
    <w:p>
      <w:pPr>
        <w:pStyle w:val="Normal"/>
        <w:rPr/>
      </w:pPr>
      <w:r>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ind w:firstLine="720" w:end="0"/>
              <w:jc w:val="both"/>
              <w:rPr/>
            </w:pPr>
            <w:r>
              <w:rPr/>
              <w:t>Calculation Period(s):</w:t>
            </w:r>
          </w:p>
        </w:tc>
        <w:tc>
          <w:tcPr>
            <w:tcW w:w="5580" w:type="dxa"/>
            <w:tcBorders/>
          </w:tcPr>
          <w:p>
            <w:pPr>
              <w:pStyle w:val="Normal"/>
              <w:ind w:start="-18" w:end="0"/>
              <w:jc w:val="both"/>
              <w:rPr/>
            </w:pPr>
            <w:r>
              <w:rPr/>
              <w:t>Monthly periods, with the first Calculation Period commencing on the Effective Date and the final Calculation Period ending on the Termination Date.</w:t>
            </w:r>
          </w:p>
        </w:tc>
      </w:tr>
      <w:tr>
        <w:trPr/>
        <w:tc>
          <w:tcPr>
            <w:tcW w:w="4338" w:type="dxa"/>
            <w:tcBorders/>
          </w:tcPr>
          <w:p>
            <w:pPr>
              <w:pStyle w:val="Normal"/>
              <w:snapToGrid w:val="false"/>
              <w:ind w:firstLine="720" w:end="0"/>
              <w:jc w:val="both"/>
              <w:rPr/>
            </w:pPr>
            <w:r>
              <w:rPr/>
            </w:r>
          </w:p>
        </w:tc>
        <w:tc>
          <w:tcPr>
            <w:tcW w:w="5580" w:type="dxa"/>
            <w:tcBorders/>
          </w:tcPr>
          <w:p>
            <w:pPr>
              <w:pStyle w:val="Normal"/>
              <w:snapToGrid w:val="false"/>
              <w:ind w:start="-18" w:end="0"/>
              <w:jc w:val="both"/>
              <w:rPr/>
            </w:pPr>
            <w:r>
              <w:rPr/>
            </w:r>
          </w:p>
        </w:tc>
      </w:tr>
      <w:tr>
        <w:trPr/>
        <w:tc>
          <w:tcPr>
            <w:tcW w:w="4338" w:type="dxa"/>
            <w:tcBorders/>
          </w:tcPr>
          <w:p>
            <w:pPr>
              <w:pStyle w:val="Normal"/>
              <w:ind w:firstLine="720" w:end="0"/>
              <w:jc w:val="both"/>
              <w:rPr/>
            </w:pPr>
            <w:r>
              <w:rPr/>
              <w:t>Payment Date(s):</w:t>
            </w:r>
          </w:p>
        </w:tc>
        <w:tc>
          <w:tcPr>
            <w:tcW w:w="5580" w:type="dxa"/>
            <w:tcBorders/>
          </w:tcPr>
          <w:p>
            <w:pPr>
              <w:pStyle w:val="Normal"/>
              <w:ind w:start="-18" w:end="0"/>
              <w:jc w:val="both"/>
              <w:rPr/>
            </w:pPr>
            <w:r>
              <w:rPr/>
              <w:fldChar w:fldCharType="begin"/>
            </w:r>
            <w:r>
              <w:rPr/>
              <w:instrText xml:space="preserve"> MERGEFIELD PaymentDates </w:instrText>
            </w:r>
            <w:r>
              <w:rPr/>
              <w:fldChar w:fldCharType="separate"/>
            </w:r>
            <w:r>
              <w:rPr/>
              <w:t>The fifth (5th) Business Day following the last Pricing Date for the applicable Calculation Period</w:t>
            </w:r>
            <w:r>
              <w:rPr/>
              <w:fldChar w:fldCharType="end"/>
            </w:r>
            <w:r>
              <w:rPr/>
              <w:t>.</w:t>
            </w:r>
          </w:p>
        </w:tc>
      </w:tr>
      <w:tr>
        <w:trPr/>
        <w:tc>
          <w:tcPr>
            <w:tcW w:w="4338" w:type="dxa"/>
            <w:tcBorders/>
          </w:tcPr>
          <w:p>
            <w:pPr>
              <w:pStyle w:val="Normal"/>
              <w:snapToGrid w:val="false"/>
              <w:ind w:firstLine="720" w:end="0"/>
              <w:jc w:val="both"/>
              <w:rPr/>
            </w:pPr>
            <w:r>
              <w:rPr/>
            </w:r>
          </w:p>
        </w:tc>
        <w:tc>
          <w:tcPr>
            <w:tcW w:w="5580" w:type="dxa"/>
            <w:tcBorders/>
          </w:tcPr>
          <w:p>
            <w:pPr>
              <w:pStyle w:val="Normal"/>
              <w:snapToGrid w:val="false"/>
              <w:ind w:start="-18" w:end="0"/>
              <w:jc w:val="both"/>
              <w:rPr/>
            </w:pPr>
            <w:r>
              <w:rPr/>
            </w:r>
          </w:p>
        </w:tc>
      </w:tr>
      <w:tr>
        <w:trPr/>
        <w:tc>
          <w:tcPr>
            <w:tcW w:w="4338" w:type="dxa"/>
            <w:tcBorders/>
          </w:tcPr>
          <w:p>
            <w:pPr>
              <w:pStyle w:val="Normal"/>
              <w:ind w:firstLine="720" w:end="0"/>
              <w:jc w:val="both"/>
              <w:rPr/>
            </w:pPr>
            <w:r>
              <w:rPr/>
              <w:t>Premium Payment Details:</w:t>
            </w:r>
          </w:p>
        </w:tc>
        <w:tc>
          <w:tcPr>
            <w:tcW w:w="5580" w:type="dxa"/>
            <w:tcBorders/>
          </w:tcPr>
          <w:p>
            <w:pPr>
              <w:pStyle w:val="Normal"/>
              <w:ind w:start="-18" w:end="0"/>
              <w:jc w:val="both"/>
              <w:rPr/>
            </w:pPr>
            <w:r>
              <w:rPr/>
              <w:t xml:space="preserve">On or before </w:t>
            </w:r>
            <w:r>
              <w:rPr>
                <w:color w:val="FF0000"/>
              </w:rPr>
              <w:t>&lt;&lt;Premium Payment Date&gt;&gt;</w:t>
            </w:r>
            <w:r>
              <w:rPr/>
              <w:t xml:space="preserve">, </w:t>
            </w:r>
            <w:r>
              <w:rPr>
                <w:color w:val="FF0000"/>
              </w:rPr>
              <w:t>Counterparty</w:t>
            </w:r>
            <w:r>
              <w:rPr/>
              <w:t xml:space="preserve"> shall pay </w:t>
            </w:r>
            <w:r>
              <w:rPr>
                <w:color w:val="FF0000"/>
              </w:rPr>
              <w:t xml:space="preserve">ENA </w:t>
            </w:r>
            <w:r>
              <w:rPr/>
              <w:t xml:space="preserve"> </w:t>
            </w:r>
            <w:r>
              <w:rPr>
                <w:color w:val="FF0000"/>
              </w:rPr>
              <w:t>&lt;&lt;U.S. $XXX.00&gt;&gt;.</w:t>
            </w:r>
          </w:p>
        </w:tc>
      </w:tr>
    </w:tbl>
    <w:p>
      <w:pPr>
        <w:pStyle w:val="Normal"/>
        <w:ind w:end="-270"/>
        <w:rPr>
          <w:b/>
        </w:rPr>
      </w:pPr>
      <w:r>
        <w:rPr>
          <w:b/>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ind w:firstLine="720" w:end="0"/>
              <w:rPr/>
            </w:pPr>
            <w:r>
              <w:rPr/>
              <w:t>Buyer:</w:t>
            </w:r>
          </w:p>
        </w:tc>
        <w:tc>
          <w:tcPr>
            <w:tcW w:w="5580" w:type="dxa"/>
            <w:tcBorders/>
          </w:tcPr>
          <w:p>
            <w:pPr>
              <w:pStyle w:val="Normal"/>
              <w:rPr/>
            </w:pPr>
            <w:r>
              <w:rPr/>
              <w:t>Counterparty</w:t>
            </w:r>
          </w:p>
          <w:p>
            <w:pPr>
              <w:pStyle w:val="Normal"/>
              <w:ind w:start="-3618" w:end="0"/>
              <w:rPr/>
            </w:pPr>
            <w:r>
              <w:rPr/>
            </w:r>
          </w:p>
        </w:tc>
      </w:tr>
      <w:tr>
        <w:trPr/>
        <w:tc>
          <w:tcPr>
            <w:tcW w:w="4338" w:type="dxa"/>
            <w:tcBorders/>
          </w:tcPr>
          <w:p>
            <w:pPr>
              <w:pStyle w:val="Normal"/>
              <w:snapToGrid w:val="false"/>
              <w:ind w:firstLine="720" w:end="0"/>
              <w:rPr/>
            </w:pPr>
            <w:r>
              <w:rPr/>
            </w:r>
          </w:p>
        </w:tc>
        <w:tc>
          <w:tcPr>
            <w:tcW w:w="5580" w:type="dxa"/>
            <w:tcBorders/>
          </w:tcPr>
          <w:p>
            <w:pPr>
              <w:pStyle w:val="Normal"/>
              <w:snapToGrid w:val="false"/>
              <w:ind w:start="-18" w:end="0"/>
              <w:jc w:val="both"/>
              <w:rPr/>
            </w:pPr>
            <w:r>
              <w:rPr/>
            </w:r>
          </w:p>
        </w:tc>
      </w:tr>
      <w:tr>
        <w:trPr/>
        <w:tc>
          <w:tcPr>
            <w:tcW w:w="4338" w:type="dxa"/>
            <w:tcBorders/>
          </w:tcPr>
          <w:p>
            <w:pPr>
              <w:pStyle w:val="Normal"/>
              <w:ind w:firstLine="720" w:end="0"/>
              <w:rPr/>
            </w:pPr>
            <w:r>
              <w:rPr/>
              <w:t>Seller:</w:t>
            </w:r>
          </w:p>
          <w:p>
            <w:pPr>
              <w:pStyle w:val="Normal"/>
              <w:ind w:firstLine="720" w:end="0"/>
              <w:rPr/>
            </w:pPr>
            <w:r>
              <w:rPr/>
              <w:t>(Floating Price Payer)</w:t>
            </w:r>
          </w:p>
        </w:tc>
        <w:tc>
          <w:tcPr>
            <w:tcW w:w="5580" w:type="dxa"/>
            <w:tcBorders/>
          </w:tcPr>
          <w:p>
            <w:pPr>
              <w:pStyle w:val="Normal"/>
              <w:rPr/>
            </w:pPr>
            <w:r>
              <w:rPr/>
              <w:t>ENA</w:t>
            </w:r>
          </w:p>
        </w:tc>
      </w:tr>
      <w:tr>
        <w:trPr/>
        <w:tc>
          <w:tcPr>
            <w:tcW w:w="4338" w:type="dxa"/>
            <w:tcBorders/>
          </w:tcPr>
          <w:p>
            <w:pPr>
              <w:pStyle w:val="Normal"/>
              <w:snapToGrid w:val="false"/>
              <w:ind w:firstLine="720" w:end="0"/>
              <w:rPr/>
            </w:pPr>
            <w:r>
              <w:rPr/>
            </w:r>
          </w:p>
        </w:tc>
        <w:tc>
          <w:tcPr>
            <w:tcW w:w="5580" w:type="dxa"/>
            <w:tcBorders/>
          </w:tcPr>
          <w:p>
            <w:pPr>
              <w:pStyle w:val="Normal"/>
              <w:snapToGrid w:val="false"/>
              <w:ind w:start="-18" w:end="0"/>
              <w:jc w:val="both"/>
              <w:rPr/>
            </w:pPr>
            <w:r>
              <w:rPr/>
            </w:r>
          </w:p>
        </w:tc>
      </w:tr>
      <w:tr>
        <w:trPr/>
        <w:tc>
          <w:tcPr>
            <w:tcW w:w="4338" w:type="dxa"/>
            <w:tcBorders/>
          </w:tcPr>
          <w:p>
            <w:pPr>
              <w:pStyle w:val="Normal"/>
              <w:ind w:firstLine="720" w:end="0"/>
              <w:rPr/>
            </w:pPr>
            <w:r>
              <w:rPr/>
              <w:t>Cap Price:</w:t>
            </w:r>
          </w:p>
        </w:tc>
        <w:tc>
          <w:tcPr>
            <w:tcW w:w="5580" w:type="dxa"/>
            <w:tcBorders/>
          </w:tcPr>
          <w:p>
            <w:pPr>
              <w:pStyle w:val="Normal"/>
              <w:jc w:val="both"/>
              <w:rPr>
                <w:color w:val="FF0000"/>
              </w:rPr>
            </w:pPr>
            <w:r>
              <w:rPr>
                <w:color w:val="FF0000"/>
              </w:rPr>
              <w:t xml:space="preserve">&lt;&lt;U.S. $XXX.00&gt;&gt; </w:t>
            </w:r>
            <w:r>
              <w:rPr/>
              <w:t>per MBF</w:t>
            </w:r>
          </w:p>
        </w:tc>
      </w:tr>
      <w:tr>
        <w:trPr/>
        <w:tc>
          <w:tcPr>
            <w:tcW w:w="4338" w:type="dxa"/>
            <w:tcBorders/>
          </w:tcPr>
          <w:p>
            <w:pPr>
              <w:pStyle w:val="Normal"/>
              <w:snapToGrid w:val="false"/>
              <w:ind w:firstLine="720" w:end="0"/>
              <w:rPr>
                <w:color w:val="FF0000"/>
              </w:rPr>
            </w:pPr>
            <w:r>
              <w:rPr>
                <w:color w:val="FF0000"/>
              </w:rPr>
            </w:r>
          </w:p>
        </w:tc>
        <w:tc>
          <w:tcPr>
            <w:tcW w:w="5580" w:type="dxa"/>
            <w:tcBorders/>
          </w:tcPr>
          <w:p>
            <w:pPr>
              <w:pStyle w:val="Normal"/>
              <w:snapToGrid w:val="false"/>
              <w:ind w:start="-18" w:end="0"/>
              <w:jc w:val="both"/>
              <w:rPr/>
            </w:pPr>
            <w:r>
              <w:rPr/>
            </w:r>
          </w:p>
        </w:tc>
      </w:tr>
      <w:tr>
        <w:trPr/>
        <w:tc>
          <w:tcPr>
            <w:tcW w:w="4338" w:type="dxa"/>
            <w:tcBorders/>
          </w:tcPr>
          <w:p>
            <w:pPr>
              <w:pStyle w:val="Normal"/>
              <w:ind w:firstLine="720" w:end="0"/>
              <w:rPr/>
            </w:pPr>
            <w:r>
              <w:rPr/>
              <w:t>Floating Price:</w:t>
            </w:r>
          </w:p>
        </w:tc>
        <w:tc>
          <w:tcPr>
            <w:tcW w:w="5580" w:type="dxa"/>
            <w:tcBorders/>
          </w:tcPr>
          <w:p>
            <w:pPr>
              <w:pStyle w:val="BodyText"/>
              <w:rPr>
                <w:color w:val="0000FF"/>
              </w:rPr>
            </w:pPr>
            <w:r>
              <w:rPr>
                <w:color w:val="0000FF"/>
              </w:rPr>
              <w:t>The Floating Price for each Calculation Period shall be the average of the daily settlement prices for the prompt month CME Random Length Lumber Futures Contract for each Commodity Business Day during the applicable Calculation Period (each, a Pricing Date).</w:t>
            </w:r>
          </w:p>
          <w:p>
            <w:pPr>
              <w:pStyle w:val="Normal"/>
              <w:jc w:val="both"/>
              <w:rPr>
                <w:color w:val="0000FF"/>
              </w:rPr>
            </w:pPr>
            <w:r>
              <w:rPr>
                <w:color w:val="0000FF"/>
              </w:rPr>
            </w:r>
          </w:p>
          <w:p>
            <w:pPr>
              <w:pStyle w:val="Normal"/>
              <w:jc w:val="both"/>
              <w:rPr>
                <w:color w:val="0000FF"/>
              </w:rPr>
            </w:pPr>
            <w:r>
              <w:rPr>
                <w:color w:val="0000FF"/>
              </w:rPr>
              <w:t>If the CME Random Length Lumber Futures Contract does not trade on any Commodity Business Day during the Calculation Period, then the settlement price for that day shall be the daily settlement price for the first preceding Commodity Business Day for which trading of the CME Random Length Lumber Futures Contract has occurred.</w:t>
            </w:r>
          </w:p>
          <w:p>
            <w:pPr>
              <w:pStyle w:val="Normal"/>
              <w:jc w:val="both"/>
              <w:rPr>
                <w:color w:val="0000FF"/>
              </w:rPr>
            </w:pPr>
            <w:r>
              <w:rPr>
                <w:color w:val="0000FF"/>
              </w:rPr>
            </w:r>
          </w:p>
          <w:p>
            <w:pPr>
              <w:pStyle w:val="Normal"/>
              <w:jc w:val="both"/>
              <w:rPr>
                <w:color w:val="0000FF"/>
              </w:rPr>
            </w:pPr>
            <w:r>
              <w:rPr>
                <w:color w:val="0000FF"/>
              </w:rPr>
              <w:t>“</w:t>
            </w:r>
            <w:r>
              <w:rPr>
                <w:color w:val="0000FF"/>
              </w:rPr>
              <w:t>CME” means the Chicago Mercantile Exchange or its successors.</w:t>
            </w:r>
          </w:p>
          <w:p>
            <w:pPr>
              <w:pStyle w:val="Normal"/>
              <w:jc w:val="both"/>
              <w:rPr>
                <w:color w:val="0000FF"/>
              </w:rPr>
            </w:pPr>
            <w:r>
              <w:rPr>
                <w:color w:val="0000FF"/>
              </w:rPr>
            </w:r>
          </w:p>
        </w:tc>
      </w:tr>
      <w:tr>
        <w:trPr/>
        <w:tc>
          <w:tcPr>
            <w:tcW w:w="4338" w:type="dxa"/>
            <w:tcBorders/>
          </w:tcPr>
          <w:p>
            <w:pPr>
              <w:pStyle w:val="Normal"/>
              <w:snapToGrid w:val="false"/>
              <w:ind w:firstLine="720" w:end="0"/>
              <w:rPr>
                <w:color w:val="0000FF"/>
              </w:rPr>
            </w:pPr>
            <w:r>
              <w:rPr>
                <w:color w:val="0000FF"/>
              </w:rPr>
            </w:r>
          </w:p>
        </w:tc>
        <w:tc>
          <w:tcPr>
            <w:tcW w:w="5580" w:type="dxa"/>
            <w:tcBorders/>
          </w:tcPr>
          <w:p>
            <w:pPr>
              <w:pStyle w:val="Normal"/>
              <w:snapToGrid w:val="false"/>
              <w:jc w:val="both"/>
              <w:rPr/>
            </w:pPr>
            <w:r>
              <w:rPr/>
            </w:r>
          </w:p>
        </w:tc>
      </w:tr>
      <w:tr>
        <w:trPr/>
        <w:tc>
          <w:tcPr>
            <w:tcW w:w="4338" w:type="dxa"/>
            <w:tcBorders/>
          </w:tcPr>
          <w:p>
            <w:pPr>
              <w:pStyle w:val="Normal"/>
              <w:tabs>
                <w:tab w:val="left" w:pos="720" w:leader="none"/>
              </w:tabs>
              <w:ind w:firstLine="720" w:end="0"/>
              <w:rPr/>
            </w:pPr>
            <w:r>
              <w:rPr/>
              <w:t>Cap Price Differential:</w:t>
            </w:r>
          </w:p>
        </w:tc>
        <w:tc>
          <w:tcPr>
            <w:tcW w:w="5580" w:type="dxa"/>
            <w:tcBorders/>
          </w:tcPr>
          <w:p>
            <w:pPr>
              <w:pStyle w:val="Normal"/>
              <w:tabs>
                <w:tab w:val="clear" w:pos="720"/>
                <w:tab w:val="left" w:pos="1962" w:leader="none"/>
              </w:tabs>
              <w:jc w:val="both"/>
              <w:rPr/>
            </w:pPr>
            <w:r>
              <w:rPr/>
              <w:t>A price per Commodity Unit equal to the excess (if a positive number) of  (i) the Floating Price over (ii) the Cap Price</w:t>
            </w:r>
          </w:p>
        </w:tc>
      </w:tr>
      <w:tr>
        <w:trPr/>
        <w:tc>
          <w:tcPr>
            <w:tcW w:w="4338" w:type="dxa"/>
            <w:tcBorders/>
          </w:tcPr>
          <w:p>
            <w:pPr>
              <w:pStyle w:val="Normal"/>
              <w:snapToGrid w:val="false"/>
              <w:ind w:start="720" w:end="0"/>
              <w:jc w:val="both"/>
              <w:rPr/>
            </w:pPr>
            <w:r>
              <w:rPr/>
            </w:r>
          </w:p>
        </w:tc>
        <w:tc>
          <w:tcPr>
            <w:tcW w:w="5580" w:type="dxa"/>
            <w:tcBorders/>
          </w:tcPr>
          <w:p>
            <w:pPr>
              <w:pStyle w:val="Normal"/>
              <w:snapToGrid w:val="false"/>
              <w:jc w:val="both"/>
              <w:rPr/>
            </w:pPr>
            <w:r>
              <w:rPr/>
            </w:r>
          </w:p>
        </w:tc>
      </w:tr>
      <w:tr>
        <w:trPr/>
        <w:tc>
          <w:tcPr>
            <w:tcW w:w="4338" w:type="dxa"/>
            <w:tcBorders/>
          </w:tcPr>
          <w:p>
            <w:pPr>
              <w:pStyle w:val="Normal"/>
              <w:ind w:firstLine="720" w:end="0"/>
              <w:rPr/>
            </w:pPr>
            <w:r>
              <w:rPr/>
              <w:t>Cash Settlement Amount:</w:t>
            </w:r>
          </w:p>
        </w:tc>
        <w:tc>
          <w:tcPr>
            <w:tcW w:w="5580" w:type="dxa"/>
            <w:tcBorders/>
          </w:tcPr>
          <w:p>
            <w:pPr>
              <w:pStyle w:val="Normal"/>
              <w:jc w:val="both"/>
              <w:rPr/>
            </w:pPr>
            <w:r>
              <w:rPr/>
              <w:t xml:space="preserve">For the Calculation Period, an amount (if any) equal to the product of (i) the Notional Quantity per Calculation Period multiplied by (ii) the Cap Price Differential, which amount shall be due and payable on the applicable Payment Date for the Calculation Period (if for the Calculation Period the Floating Price is equal to or less than the Strike Price, then no payment shall be due with respect to such Calculation Period) </w:t>
            </w:r>
          </w:p>
        </w:tc>
      </w:tr>
      <w:tr>
        <w:trPr/>
        <w:tc>
          <w:tcPr>
            <w:tcW w:w="4338" w:type="dxa"/>
            <w:tcBorders/>
          </w:tcPr>
          <w:p>
            <w:pPr>
              <w:pStyle w:val="Normal"/>
              <w:snapToGrid w:val="false"/>
              <w:ind w:start="720" w:end="0"/>
              <w:jc w:val="both"/>
              <w:rPr/>
            </w:pPr>
            <w:r>
              <w:rPr/>
            </w:r>
          </w:p>
        </w:tc>
        <w:tc>
          <w:tcPr>
            <w:tcW w:w="5580" w:type="dxa"/>
            <w:tcBorders/>
          </w:tcPr>
          <w:p>
            <w:pPr>
              <w:pStyle w:val="Normal"/>
              <w:snapToGrid w:val="false"/>
              <w:jc w:val="both"/>
              <w:rPr/>
            </w:pPr>
            <w:r>
              <w:rPr/>
            </w:r>
          </w:p>
        </w:tc>
      </w:tr>
      <w:tr>
        <w:trPr/>
        <w:tc>
          <w:tcPr>
            <w:tcW w:w="4338" w:type="dxa"/>
            <w:tcBorders/>
          </w:tcPr>
          <w:p>
            <w:pPr>
              <w:pStyle w:val="Normal"/>
              <w:ind w:start="720" w:end="0"/>
              <w:jc w:val="both"/>
              <w:rPr/>
            </w:pPr>
            <w:r>
              <w:rPr/>
              <w:t>Settlement:</w:t>
            </w:r>
          </w:p>
        </w:tc>
        <w:tc>
          <w:tcPr>
            <w:tcW w:w="5580" w:type="dxa"/>
            <w:tcBorders/>
          </w:tcPr>
          <w:p>
            <w:pPr>
              <w:pStyle w:val="Normal"/>
              <w:jc w:val="both"/>
              <w:rPr/>
            </w:pPr>
            <w:r>
              <w:rPr/>
              <w:t>Floating Price Payer shall pay to Buyer the Cash Settlement Amount, if any, on each Payment Date.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w:t>
      </w:r>
      <w:r>
        <w:rPr>
          <w:color w:val="FF0000"/>
        </w:rPr>
        <w:t xml:space="preserve"> </w:t>
      </w:r>
      <w:r>
        <w:rPr/>
        <w:t>in New York City, New York,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12.</w:t>
        <w:tab/>
      </w:r>
      <w:r>
        <w:rPr>
          <w:b/>
          <w:u w:val="single"/>
        </w:rPr>
        <w:t>Miscellaneous</w:t>
      </w:r>
      <w:r>
        <w:rPr>
          <w:b/>
        </w:rPr>
        <w:t>.</w:t>
      </w:r>
    </w:p>
    <w:p>
      <w:pPr>
        <w:pStyle w:val="Normal"/>
        <w:jc w:val="both"/>
        <w:rPr>
          <w:b/>
          <w:u w:val="single"/>
        </w:rPr>
      </w:pPr>
      <w:r>
        <w:rPr>
          <w:b/>
          <w:u w:val="single"/>
        </w:rPr>
      </w:r>
    </w:p>
    <w:p>
      <w:pPr>
        <w:pStyle w:val="Normal"/>
        <w:ind w:firstLine="360" w:end="0"/>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pPr>
      <w:r>
        <w:rPr/>
      </w:r>
    </w:p>
    <w:p>
      <w:pPr>
        <w:pStyle w:val="Normal"/>
        <w:numPr>
          <w:ilvl w:val="0"/>
          <w:numId w:val="2"/>
        </w:numPr>
        <w:ind w:hanging="0" w:start="360" w:end="0"/>
        <w:jc w:val="both"/>
        <w:rPr/>
      </w:pPr>
      <w:r>
        <w:rPr/>
        <w:t xml:space="preserve">entering into this Confirmation and the Transaction hereunder do not violate any legal investment laws directly or indirectly applicable to Counterparty; </w:t>
      </w:r>
    </w:p>
    <w:p>
      <w:pPr>
        <w:pStyle w:val="Normal"/>
        <w:numPr>
          <w:ilvl w:val="0"/>
          <w:numId w:val="2"/>
        </w:numPr>
        <w:ind w:hanging="0" w:start="360" w:end="0"/>
        <w:jc w:val="both"/>
        <w:rPr/>
      </w:pPr>
      <w:r>
        <w:rPr/>
        <w:t>entering into this Confirmation and the Transaction hereunder is consistent with Counterparty’s investment guidelines, including any derivatives policy;</w:t>
      </w:r>
    </w:p>
    <w:p>
      <w:pPr>
        <w:pStyle w:val="Normal"/>
        <w:numPr>
          <w:ilvl w:val="0"/>
          <w:numId w:val="2"/>
        </w:numPr>
        <w:ind w:hanging="0" w:start="360" w:end="0"/>
        <w:jc w:val="both"/>
        <w:rPr/>
      </w:pPr>
      <w:r>
        <w:rPr/>
        <w:t xml:space="preserve">it has taken all requisite actions to comply with any laws, regulations and rules applicable to such derivatives transactions; and </w:t>
      </w:r>
    </w:p>
    <w:p>
      <w:pPr>
        <w:pStyle w:val="Normal"/>
        <w:numPr>
          <w:ilvl w:val="0"/>
          <w:numId w:val="2"/>
        </w:numPr>
        <w:ind w:hanging="0" w:start="360" w:end="0"/>
        <w:jc w:val="both"/>
        <w:rPr/>
      </w:pPr>
      <w:r>
        <w:rPr/>
        <w:t xml:space="preserve">this Confirmation and the Transaction hereunder have been and will be entered into not for the purpose of speculation but solely in connection with the business activities of Counterparty. </w:t>
      </w:r>
    </w:p>
    <w:p>
      <w:pPr>
        <w:pStyle w:val="Normal"/>
        <w:rPr/>
      </w:pPr>
      <w:r>
        <w:rPr/>
      </w:r>
    </w:p>
    <w:p>
      <w:pPr>
        <w:pStyle w:val="Normal"/>
        <w:ind w:firstLine="360" w:end="0"/>
        <w:jc w:val="both"/>
        <w:rPr/>
      </w:pPr>
      <w:r>
        <w:rPr/>
        <w:t>(b)</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pPr>
      <w:r>
        <w:rPr/>
        <w:t>13.</w:t>
        <w:tab/>
      </w:r>
      <w:r>
        <w:rPr>
          <w:b/>
          <w:u w:val="single"/>
        </w:rPr>
        <w:t>Offices</w:t>
      </w:r>
      <w:r>
        <w:rPr>
          <w:b/>
        </w:rPr>
        <w:t xml:space="preserve">.  </w:t>
      </w:r>
      <w:r>
        <w:rPr/>
        <w:t>(a)  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 The office of Counterparty is and copies of any notices should be delivered to: ______________________________________________________________________________________________________________________________________, Facsimile No. 011 81 3_______________________.</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color w:val="FF0000"/>
        </w:rPr>
      </w:pPr>
      <w:r>
        <w:rPr/>
        <w:t>INDUSTRIAL BANK OF JAPAN</w:t>
      </w:r>
    </w:p>
    <w:p>
      <w:pPr>
        <w:pStyle w:val="Normal"/>
        <w:keepNext w:val="true"/>
        <w:rPr>
          <w:color w:val="FF0000"/>
        </w:rPr>
      </w:pPr>
      <w:r>
        <w:rPr>
          <w:color w:val="FF0000"/>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sectPr>
          <w:headerReference w:type="default" r:id="rId4"/>
          <w:footerReference w:type="default" r:id="rId5"/>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Normal"/>
        <w:keepNext w:val="true"/>
        <w:jc w:val="center"/>
        <w:rPr>
          <w:b/>
          <w:color w:val="FF0000"/>
        </w:rPr>
      </w:pPr>
      <w:r>
        <w:rPr>
          <w:b/>
        </w:rPr>
        <w:t>Party B:  Industrial Bank of Japan</w:t>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BodyText"/>
        <w:spacing w:lineRule="exact" w:line="240" w:before="240" w:after="0"/>
        <w:ind w:start="720" w:end="0"/>
        <w:rPr/>
      </w:pPr>
      <w:r>
        <w:rPr/>
        <w:t>Further, Party B makes the following representation:  It is not entering into this Confirmation and the ISDA Agreement in the ordinary course of its business of making loans.</w:t>
      </w:r>
    </w:p>
    <w:p>
      <w:pPr>
        <w:pStyle w:val="Normal"/>
        <w:spacing w:lineRule="exact" w:line="240" w:before="240" w:after="0"/>
        <w:jc w:val="both"/>
        <w:rPr/>
      </w:pPr>
      <w:r>
        <w:rPr/>
        <w:t>"</w:t>
      </w:r>
      <w:r>
        <w:rPr>
          <w:b/>
        </w:rPr>
        <w:t>Specified Treaty</w:t>
      </w:r>
      <w:r>
        <w:rPr/>
        <w:t>" means the income tax treaty between the United States and Japan.</w:t>
      </w:r>
    </w:p>
    <w:p>
      <w:pPr>
        <w:pStyle w:val="Normal"/>
        <w:spacing w:lineRule="exact" w:line="240" w:before="240" w:after="0"/>
        <w:jc w:val="both"/>
        <w:rPr/>
      </w:pPr>
      <w:r>
        <w:rPr/>
        <w:t>"</w:t>
      </w:r>
      <w:r>
        <w:rPr>
          <w:b/>
        </w:rPr>
        <w:t>Specified Jurisdiction</w:t>
      </w:r>
      <w:r>
        <w:rPr/>
        <w:t>" means, with respect to Party A, Japan.</w:t>
      </w:r>
    </w:p>
    <w:p>
      <w:pPr>
        <w:pStyle w:val="Normal"/>
        <w:spacing w:lineRule="exact" w:line="240" w:before="240" w:after="0"/>
        <w:jc w:val="both"/>
        <w:rPr/>
      </w:pPr>
      <w:r>
        <w:rPr/>
        <w:t>"</w:t>
      </w:r>
      <w:r>
        <w:rPr>
          <w:b/>
        </w:rPr>
        <w:t>Specified Jurisdiction</w:t>
      </w:r>
      <w:r>
        <w:rPr/>
        <w:t>" means, with respect to Party B, the United States.</w:t>
      </w:r>
    </w:p>
    <w:p>
      <w:pPr>
        <w:pStyle w:val="Normal"/>
        <w:keepNext w:val="true"/>
        <w:spacing w:lineRule="exact" w:line="480"/>
        <w:jc w:val="both"/>
        <w:rPr>
          <w:b/>
        </w:rPr>
      </w:pPr>
      <w:r>
        <w:rPr>
          <w:b/>
        </w:rPr>
        <w:t>II.</w:t>
        <w:tab/>
        <w:t>Agreement to Deliver Documents.</w:t>
      </w:r>
    </w:p>
    <w:p>
      <w:pPr>
        <w:pStyle w:val="BodyText"/>
        <w:keepNext w:val="true"/>
        <w:spacing w:lineRule="exact" w:line="240" w:before="240" w:after="0"/>
        <w:rPr/>
      </w:pPr>
      <w:r>
        <w:rPr/>
        <w:t>For the purpose of Section 4(a) of the ISDA Agreement, the Tax forms, documents, or certificates to be delivered are:</w:t>
      </w:r>
    </w:p>
    <w:p>
      <w:pPr>
        <w:pStyle w:val="Normal"/>
        <w:keepNext w:val="true"/>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Normal"/>
        <w:keepNext w:val="true"/>
        <w:jc w:val="center"/>
        <w:rPr>
          <w:lang w:val="en-CA"/>
        </w:rPr>
      </w:pPr>
      <w:r>
        <w:rPr>
          <w:lang w:val="en-CA"/>
        </w:rPr>
      </w:r>
    </w:p>
    <w:p>
      <w:pPr>
        <w:pStyle w:val="Normal"/>
        <w:rPr>
          <w:lang w:val="en-CA"/>
        </w:rPr>
      </w:pPr>
      <w:r>
        <w:rPr>
          <w:lang w:val="en-CA"/>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O:\Legal\Sbailey\Conf\089conf(industrialbankjapan).doc</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O:\Legal\Sbailey\Conf\089conf(industrialbankjapan).doc</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6"/>
      </w:rPr>
      <w:t>.</w:t>
    </w:r>
    <w:r>
      <w:rPr>
        <w:sz w:val="26"/>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jc w:val="center"/>
      <w:outlineLvl w:val="5"/>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2000-09-08T13:42:00Z</dcterms:created>
  <dc:creator>Diane Anderson</dc:creator>
  <dc:description/>
  <dc:language>en-CA</dc:language>
  <cp:lastModifiedBy>Diane Anderson</cp:lastModifiedBy>
  <dcterms:modified xsi:type="dcterms:W3CDTF">2000-09-08T15:58:00Z</dcterms:modified>
  <cp:revision>2</cp:revision>
  <dc:subject/>
  <dc:title> </dc:title>
</cp:coreProperties>
</file>