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Randy Petersen, Chris Helfrich</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Becky Caudle, Sharon Sullo</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RAC</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Indiana Bio-Composites – Kafus Due Diligence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7, 2000</w:t>
            </w:r>
          </w:p>
        </w:tc>
      </w:tr>
    </w:tbl>
    <w:p>
      <w:pPr>
        <w:pStyle w:val="Body"/>
        <w:rPr/>
      </w:pPr>
      <w:r>
        <w:rPr/>
      </w:r>
      <w:bookmarkStart w:id="1" w:name="StartOfMemo"/>
      <w:bookmarkStart w:id="2" w:name="StartOfMemo"/>
      <w:bookmarkEnd w:id="2"/>
    </w:p>
    <w:p>
      <w:pPr>
        <w:pStyle w:val="Body"/>
        <w:rPr/>
      </w:pPr>
      <w:r>
        <w:rPr/>
        <w:t>On March 23-24, 2000, we visited Kafus Industries Ltd’s (“Kafus”) Indiana Bio-Composites LLC (“IBC” or “the Company”) facility in Elkhart, Indiana.  Our visit included a tour of the facility, a limited scope financial and accounting review and interviews with Garry Balthes, Vice President of Operations, Doug Evans, Manager of Manufacturing, Darrell Eggers, Product Development Coordinator, and Dianne Hoffman, Sr. Accountant and Office Manager.  The review of this subsidiary is part of the corporate due diligence performed in response to Kafus’ request for additional fundings at the CanFibre and corporate level.</w:t>
      </w:r>
    </w:p>
    <w:p>
      <w:pPr>
        <w:pStyle w:val="Body"/>
        <w:rPr/>
      </w:pPr>
      <w:r>
        <w:rPr/>
      </w:r>
    </w:p>
    <w:p>
      <w:pPr>
        <w:pStyle w:val="Body"/>
        <w:pBdr>
          <w:top w:val="double" w:sz="4" w:space="1" w:color="000000"/>
          <w:left w:val="double" w:sz="4" w:space="4" w:color="000000"/>
          <w:bottom w:val="double" w:sz="4" w:space="1" w:color="000000"/>
          <w:right w:val="double" w:sz="4" w:space="4" w:color="000000"/>
        </w:pBdr>
        <w:ind w:start="720" w:end="720"/>
        <w:rPr>
          <w:b/>
          <w:u w:val="single"/>
        </w:rPr>
      </w:pPr>
      <w:r>
        <w:rPr>
          <w:b/>
          <w:u w:val="single"/>
        </w:rPr>
        <w:t>Findings and Conclusions:</w:t>
      </w:r>
    </w:p>
    <w:p>
      <w:pPr>
        <w:pStyle w:val="Body"/>
        <w:pBdr>
          <w:top w:val="double" w:sz="4" w:space="1" w:color="000000"/>
          <w:left w:val="double" w:sz="4" w:space="4" w:color="000000"/>
          <w:bottom w:val="double" w:sz="4" w:space="1" w:color="000000"/>
          <w:right w:val="double" w:sz="4" w:space="4" w:color="000000"/>
        </w:pBdr>
        <w:ind w:start="720" w:end="720"/>
        <w:rPr/>
      </w:pPr>
      <w:r>
        <w:rPr/>
        <w:t>Our review identified the following issues:</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 xml:space="preserve">IBC has only one manufacturing line in place at this time.  Since IBC is a second tier supplier to the auto industry, any downtime that results in a shortage may jeopardize access to this key market in the future. </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 xml:space="preserve">IBC occasionally sources its kenaf fiber from China.  According to management, this high quality fiber is hand processed.  This may be a social issue for Enron. </w:t>
      </w:r>
    </w:p>
    <w:p>
      <w:pPr>
        <w:pStyle w:val="Body"/>
        <w:pBdr>
          <w:top w:val="double" w:sz="4" w:space="1" w:color="000000"/>
          <w:left w:val="double" w:sz="4" w:space="4" w:color="000000"/>
          <w:bottom w:val="double" w:sz="4" w:space="1" w:color="000000"/>
          <w:right w:val="double" w:sz="4" w:space="4" w:color="000000"/>
        </w:pBdr>
        <w:ind w:start="720" w:end="720"/>
        <w:rPr/>
      </w:pPr>
      <w:r>
        <w:rPr/>
      </w:r>
    </w:p>
    <w:p>
      <w:pPr>
        <w:pStyle w:val="Body"/>
        <w:pBdr>
          <w:top w:val="double" w:sz="4" w:space="1" w:color="000000"/>
          <w:left w:val="double" w:sz="4" w:space="4" w:color="000000"/>
          <w:bottom w:val="double" w:sz="4" w:space="1" w:color="000000"/>
          <w:right w:val="double" w:sz="4" w:space="4" w:color="000000"/>
        </w:pBdr>
        <w:ind w:start="720" w:end="720"/>
        <w:rPr>
          <w:b/>
          <w:i/>
          <w:i/>
        </w:rPr>
      </w:pPr>
      <w:r>
        <w:rPr>
          <w:b/>
          <w:i/>
        </w:rPr>
        <w:t xml:space="preserve">Attached are pictures of IBC’s operation taken during our visit.     </w:t>
      </w:r>
    </w:p>
    <w:p>
      <w:pPr>
        <w:pStyle w:val="Body"/>
        <w:pBdr>
          <w:top w:val="double" w:sz="4" w:space="1" w:color="000000"/>
          <w:left w:val="double" w:sz="4" w:space="4" w:color="000000"/>
          <w:bottom w:val="double" w:sz="4" w:space="1" w:color="000000"/>
          <w:right w:val="double" w:sz="4" w:space="4" w:color="000000"/>
        </w:pBdr>
        <w:ind w:start="720" w:end="720"/>
        <w:rPr>
          <w:b/>
          <w:i/>
          <w:i/>
        </w:rPr>
      </w:pPr>
      <w:r>
        <w:rPr>
          <w:b/>
          <w:i/>
        </w:rPr>
      </w:r>
    </w:p>
    <w:p>
      <w:pPr>
        <w:pStyle w:val="Body"/>
        <w:ind w:start="0" w:end="720"/>
        <w:rPr/>
      </w:pPr>
      <w:r>
        <w:rPr/>
      </w:r>
    </w:p>
    <w:p>
      <w:pPr>
        <w:pStyle w:val="Body"/>
        <w:ind w:end="720"/>
        <w:rPr>
          <w:b/>
          <w:u w:val="single"/>
        </w:rPr>
      </w:pPr>
      <w:r>
        <w:rPr>
          <w:b/>
          <w:u w:val="single"/>
        </w:rPr>
        <w:t>Background:</w:t>
      </w:r>
    </w:p>
    <w:p>
      <w:pPr>
        <w:pStyle w:val="Body"/>
        <w:ind w:end="720"/>
        <w:rPr/>
      </w:pPr>
      <w:r>
        <w:rPr/>
        <w:t>Enron North America (“ENA”) has made equity and debt investments in Kafus at various times, initially in July 1997.  In addition, ENA has investments in three of Kafus’ subsidiaries at the project level:  CanFibre Riverside, CanFibre Lackawanna and Kafus Fortra Fibre Cement.  As of 1/31/2000, ENA and affiliates’ total cost basis in Kafus and subsidiaries was in excess of $100MM.</w:t>
      </w:r>
    </w:p>
    <w:p>
      <w:pPr>
        <w:pStyle w:val="Body"/>
        <w:ind w:end="720"/>
        <w:rPr/>
      </w:pPr>
      <w:r>
        <w:rPr/>
      </w:r>
    </w:p>
    <w:p>
      <w:pPr>
        <w:pStyle w:val="Body"/>
        <w:ind w:end="720"/>
        <w:rPr/>
      </w:pPr>
      <w:r>
        <w:rPr/>
        <w:t>Because of construction delays and start up problems with the Riverside project, Kafus has requested additional funding to make the facility commercially viable.  Prior to any additional investment, we have been asked to review Kafus’ corporate offices and major operating subsidiaries.  This includes a review of the 90% owned subsidiary, Kafus Bio-Composites, which in turn, owns 100% of IBC.</w:t>
      </w:r>
    </w:p>
    <w:p>
      <w:pPr>
        <w:pStyle w:val="Body"/>
        <w:ind w:end="720"/>
        <w:rPr/>
      </w:pPr>
      <w:r>
        <w:rPr/>
      </w:r>
    </w:p>
    <w:p>
      <w:pPr>
        <w:pStyle w:val="Body"/>
        <w:ind w:end="720"/>
        <w:rPr>
          <w:b/>
          <w:u w:val="single"/>
        </w:rPr>
      </w:pPr>
      <w:r>
        <w:rPr>
          <w:b/>
          <w:u w:val="single"/>
        </w:rPr>
        <w:t>Operational Overview:</w:t>
      </w:r>
    </w:p>
    <w:p>
      <w:pPr>
        <w:pStyle w:val="Body"/>
        <w:ind w:end="720"/>
        <w:rPr/>
      </w:pPr>
      <w:r>
        <w:rPr/>
        <w:t xml:space="preserve">IBC </w:t>
      </w:r>
      <w:r>
        <w:rPr>
          <w:color w:val="000000"/>
        </w:rPr>
        <w:t>produces</w:t>
      </w:r>
      <w:r>
        <w:rPr/>
        <w:t xml:space="preserve"> flexform, which is their brand name of a fiberglass replacement made of natural fibers such as kenaf, hemp and flax combined with polymers.  The natural fiber flexform has several advantages over fiberglass, including higher strength, lower weight and less likely to shatter or warp.  The flexform is also more environmentally friendly because less styrenes (glue) are needed in the molding process, and it can be recycled economically up to five times.</w:t>
      </w:r>
    </w:p>
    <w:p>
      <w:pPr>
        <w:pStyle w:val="Body"/>
        <w:ind w:end="720"/>
        <w:rPr/>
      </w:pPr>
      <w:r>
        <w:rPr/>
      </w:r>
    </w:p>
    <w:p>
      <w:pPr>
        <w:pStyle w:val="Body"/>
        <w:ind w:end="720"/>
        <w:rPr/>
      </w:pPr>
      <w:r>
        <w:rPr/>
        <w:t>Currently, IBC’s clients are primarily automotive, but their targeted client mix will be 35% automotive, 35% construction and 30% RV.  This product also has the potential to be used in the aerospace industry, if the Company can develop a way to meet the stringent flame resistant requirements.  For the automotive industry, IBC is a Tier-2 manufacturer.  This means they produce the flexform and sell it in pallets to Tier-1 manufacturers, who in turn, molds the car part.  The Tier-1 sells this part to the car manufacturer, who ultimately assembles the vehicle.</w:t>
      </w:r>
    </w:p>
    <w:p>
      <w:pPr>
        <w:pStyle w:val="Body"/>
        <w:ind w:end="720"/>
        <w:rPr/>
      </w:pPr>
      <w:r>
        <w:rPr/>
      </w:r>
    </w:p>
    <w:p>
      <w:pPr>
        <w:pStyle w:val="Body"/>
        <w:ind w:end="720"/>
        <w:rPr/>
      </w:pPr>
      <w:r>
        <w:rPr/>
        <w:t>IBC currently has one manufacturing line. The processing equipment appeared to be in very good condition and well maintained.  The process is highly automated and requires only 5 employees per shift.  All employees are cross-trained to perform any function in the process.  They have run with one eight-hour shift since October 1999, and are currently in the process of training a second shift.  The Company plans to introduce a third shift at the end of summer 2000.  IBC has the ability to add a fourth shift on weekends, but they prefer to have this weekly downtime for regular maintenance.  The Company has enough backlog to fill three shifts to capacity in October 2000, so the addition of a second line is planned.  This line will increase their capacity and more importantly, will increase their reliability in the event of a line breakdown.  Reputation is essential in the automotive industry, and if IBC fails to supply sufficient quantities of the product, it will hurt their ability to obtain new orders.  The second line will be identical to the existing line and will be placed in the existing building.  IBC also has plans for a third line to produce larger flexform for the side panels of RVs.</w:t>
      </w:r>
    </w:p>
    <w:p>
      <w:pPr>
        <w:pStyle w:val="Body"/>
        <w:ind w:end="720"/>
        <w:rPr/>
      </w:pPr>
      <w:r>
        <w:rPr/>
      </w:r>
    </w:p>
    <w:p>
      <w:pPr>
        <w:pStyle w:val="Body"/>
        <w:ind w:end="720"/>
        <w:rPr/>
      </w:pPr>
      <w:r>
        <w:rPr/>
        <w:t>We discussed the availability of IBC’s raw materials with Mr. Evans.  IBC always has at least two competitive suppliers of each raw material, and also has the ability to go outside of these two suppliers, if a better price is found.  The costs of the synthetic raw materials (the polymers) are petroleum based, and therefore are dependent on the price of oil.  This risk is partially alleviated because they have a recycled polymer supplier and IBC can pass on some of the costs to the Tier-1 manufacturer.  One of the potential kenaf suppliers is Kafus Industries of South Texas (“KIST”).  Since KIST is a related party, IBC will be able to obtain kenaf at a lower price, once KIST produces the quality kenaf that IBC requires.</w:t>
      </w:r>
    </w:p>
    <w:p>
      <w:pPr>
        <w:pStyle w:val="Body"/>
        <w:ind w:end="720"/>
        <w:rPr/>
      </w:pPr>
      <w:r>
        <w:rPr/>
      </w:r>
    </w:p>
    <w:p>
      <w:pPr>
        <w:pStyle w:val="Body"/>
        <w:ind w:end="720"/>
        <w:rPr>
          <w:b/>
          <w:u w:val="single"/>
        </w:rPr>
      </w:pPr>
      <w:r>
        <w:rPr>
          <w:b/>
          <w:u w:val="single"/>
        </w:rPr>
        <w:t>Finance and Accounting:</w:t>
      </w:r>
    </w:p>
    <w:p>
      <w:pPr>
        <w:pStyle w:val="Body"/>
        <w:ind w:end="720"/>
        <w:rPr/>
      </w:pPr>
      <w:r>
        <w:rPr/>
        <w:t>While Kafus’ management led us to believe IBC was in full commercial operation, we found the Company to be in the very early stages of commercial ramp-up.  No historical information is available prior to 2000 and both January and February actual numbers do not reflect a stabilized production environment.  IBC has a backlog of firm orders and expects to be operating at capacity by October 2000.  The Company has projected revenues of $14MM for the year 2000.  The firm orders result in revenues of only $7MM, but there are several large orders in negotiations and IBC management have represented that there is enough demand to meet revenue projections once their additional shifts are trained and running.  IBC’s SG&amp;A runs at an average of $268k per month, so it is essential that their volumes increase to cover these fixed costs.  IBC’s projected pre-tax margins are approximately 20% in the automotive industry and as much as 40% in the RV industry.  Since the Company is in the start up phase, they have not demonstrated such margins to date.</w:t>
      </w:r>
    </w:p>
    <w:p>
      <w:pPr>
        <w:pStyle w:val="Body"/>
        <w:ind w:end="720"/>
        <w:rPr/>
      </w:pPr>
      <w:r>
        <w:rPr/>
      </w:r>
    </w:p>
    <w:p>
      <w:pPr>
        <w:pStyle w:val="Body"/>
        <w:ind w:end="720"/>
        <w:rPr/>
      </w:pPr>
      <w:r>
        <w:rPr/>
        <w:t>IBC uses Mass-90 accounting software and performs nightly backups on the system.  The Company is having some implementation problems, but appear to have contacted the appropriate resources to resolve these problems.  They are overriding the system in problem areas with manual inventory and raw material counts.</w:t>
      </w:r>
    </w:p>
    <w:p>
      <w:pPr>
        <w:pStyle w:val="Body"/>
        <w:ind w:end="720"/>
        <w:rPr/>
      </w:pPr>
      <w:r>
        <w:rPr/>
      </w:r>
    </w:p>
    <w:p>
      <w:pPr>
        <w:pStyle w:val="Body"/>
        <w:ind w:end="720"/>
        <w:rPr/>
      </w:pPr>
      <w:r>
        <w:rPr/>
        <w:t>IBC’s accounting staff is extremely light for the type of operation they run.  Mr. Balthes recognizes this problem, and he stated that plans have already been made to add a higher level accounting employee in the near future.</w:t>
      </w:r>
    </w:p>
    <w:p>
      <w:pPr>
        <w:pStyle w:val="Body"/>
        <w:ind w:end="720"/>
        <w:rPr/>
      </w:pPr>
      <w:r>
        <w:rPr/>
      </w:r>
    </w:p>
    <w:p>
      <w:pPr>
        <w:pStyle w:val="Body"/>
        <w:ind w:end="720"/>
        <w:rPr/>
      </w:pPr>
      <w:r>
        <w:rPr/>
        <w:t>Accounts Receivable and Accounts Payable were reviewed and were fairly current.</w:t>
      </w:r>
    </w:p>
    <w:p>
      <w:pPr>
        <w:pStyle w:val="Body"/>
        <w:ind w:end="720"/>
        <w:rPr>
          <w:b/>
          <w:u w:val="single"/>
        </w:rPr>
      </w:pPr>
      <w:r>
        <w:rPr>
          <w:b/>
          <w:u w:val="single"/>
        </w:rPr>
      </w:r>
    </w:p>
    <w:p>
      <w:pPr>
        <w:pStyle w:val="Body"/>
        <w:ind w:end="720"/>
        <w:rPr>
          <w:b/>
          <w:u w:val="single"/>
        </w:rPr>
      </w:pPr>
      <w:r>
        <w:rPr>
          <w:b/>
          <w:u w:val="single"/>
        </w:rPr>
        <w:t>Litigation:</w:t>
      </w:r>
    </w:p>
    <w:p>
      <w:pPr>
        <w:pStyle w:val="Body"/>
        <w:ind w:end="720"/>
        <w:rPr/>
      </w:pPr>
      <w:r>
        <w:rPr/>
        <w:t>IBC stated that there is no current litigation outstanding.</w:t>
      </w:r>
    </w:p>
    <w:p>
      <w:pPr>
        <w:pStyle w:val="Body"/>
        <w:ind w:end="720"/>
        <w:rPr/>
      </w:pPr>
      <w:r>
        <w:rPr/>
      </w:r>
    </w:p>
    <w:p>
      <w:pPr>
        <w:pStyle w:val="Body"/>
        <w:ind w:end="720"/>
        <w:rPr/>
      </w:pPr>
      <w:r>
        <w:rPr/>
      </w:r>
    </w:p>
    <w:p>
      <w:pPr>
        <w:pStyle w:val="Body"/>
        <w:ind w:end="720"/>
        <w:rPr/>
      </w:pPr>
      <w:r>
        <w:rPr/>
      </w:r>
    </w:p>
    <w:p>
      <w:pPr>
        <w:pStyle w:val="CopyList"/>
        <w:rPr/>
      </w:pPr>
      <w:r>
        <w:rPr/>
        <w:t>CC:  Rick Buy, Rick Carson, Dave Gorte, Dan Lyons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Helvetica"/>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Helvetica" w:hAnsi="Arial;Helvetica" w:eastAsia="Times New Roman" w:cs="Arial;Helvetica"/>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color w:val="000000"/>
    </w:rPr>
  </w:style>
  <w:style w:type="character" w:styleId="WW8Num2z0">
    <w:name w:val="WW8Num2z0"/>
    <w:qFormat/>
    <w:rPr>
      <w:rFonts w:ascii="Symbol" w:hAnsi="Symbol" w:cs="Symbol"/>
      <w:color w:val="000000"/>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Helvetica" w:hAnsi="Arial;Helvetica" w:cs="Arial;Helvetica"/>
      <w:sz w:val="20"/>
    </w:rPr>
  </w:style>
  <w:style w:type="paragraph" w:styleId="Body">
    <w:name w:val="Body"/>
    <w:basedOn w:val="Normal"/>
    <w:qFormat/>
    <w:pPr>
      <w:tabs>
        <w:tab w:val="clear" w:pos="540"/>
      </w:tabs>
      <w:ind w:hanging="0" w:start="72" w:end="0"/>
    </w:pPr>
    <w:rPr>
      <w:rFonts w:ascii="Arial;Helvetica" w:hAnsi="Arial;Helvetica" w:cs="Arial;Helvetica"/>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2000-04-04T11:48:00Z</dcterms:created>
  <dc:creator>Jeff Ford</dc:creator>
  <dc:description/>
  <dc:language>en-CA</dc:language>
  <cp:lastModifiedBy>Becky Caudle</cp:lastModifiedBy>
  <cp:lastPrinted>2000-04-11T14:38:00Z</cp:lastPrinted>
  <dcterms:modified xsi:type="dcterms:W3CDTF">2000-04-13T19:23:00Z</dcterms:modified>
  <cp:revision>12</cp:revision>
  <dc:subject/>
  <dc:title>Eron Capital &amp; Trade Resources Memo</dc:title>
</cp:coreProperties>
</file>