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0" w:end="0"/>
        <w:jc w:val="start"/>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ind w:hanging="0" w:end="0"/>
        <w:rPr/>
      </w:pPr>
      <w:r>
        <w:rPr/>
        <w:t>BEFORE THE PUBLIC UTILITIES COMMISSION</w:t>
      </w:r>
    </w:p>
    <w:p>
      <w:pPr>
        <w:pStyle w:val="Heading"/>
        <w:ind w:hanging="0" w:end="0"/>
        <w:rPr>
          <w:b w:val="false"/>
        </w:rPr>
      </w:pPr>
      <w:r>
        <w:rPr/>
        <w:t>OF THE STATE OF CALIFORNIA</w:t>
      </w:r>
    </w:p>
    <w:p>
      <w:pPr>
        <w:pStyle w:val="Norma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end w:val="single" w:sz="4" w:space="0" w:color="000000"/>
            </w:tcBorders>
          </w:tcPr>
          <w:p>
            <w:pPr>
              <w:pStyle w:val="DoubleSpacing"/>
              <w:spacing w:lineRule="auto" w:line="240"/>
              <w:ind w:hanging="0" w:end="0"/>
              <w:jc w:val="start"/>
              <w:rPr/>
            </w:pPr>
            <w:r>
              <w:rPr/>
              <w:t xml:space="preserve">Investigation on the Commission’s Own Motion to Consider the Costs and Benefits of Various Promising Revisions to the Regulatory and Market Structure Governing California’s Natural Gas Industry and to Report to the California Legislature on the Commission’s Findings. </w:t>
            </w:r>
          </w:p>
        </w:tc>
        <w:tc>
          <w:tcPr>
            <w:tcW w:w="4428" w:type="dxa"/>
            <w:tcBorders/>
          </w:tcPr>
          <w:p>
            <w:pPr>
              <w:pStyle w:val="BodyText"/>
              <w:snapToGrid w:val="false"/>
              <w:rPr/>
            </w:pPr>
            <w:r>
              <w:rPr/>
            </w:r>
          </w:p>
          <w:p>
            <w:pPr>
              <w:pStyle w:val="BodyText"/>
              <w:rPr/>
            </w:pPr>
            <w:r>
              <w:rPr/>
            </w:r>
          </w:p>
          <w:p>
            <w:pPr>
              <w:pStyle w:val="BodyText"/>
              <w:rPr/>
            </w:pPr>
            <w:r>
              <w:rPr/>
              <w:t>Investigation 99-07-003</w:t>
            </w:r>
          </w:p>
        </w:tc>
      </w:tr>
      <w:tr>
        <w:trPr>
          <w:trHeight w:val="100" w:hRule="atLeast"/>
        </w:trPr>
        <w:tc>
          <w:tcPr>
            <w:tcW w:w="4428" w:type="dxa"/>
            <w:tcBorders>
              <w:bottom w:val="single" w:sz="4" w:space="0" w:color="000000"/>
              <w:end w:val="single" w:sz="4" w:space="0" w:color="000000"/>
            </w:tcBorders>
          </w:tcPr>
          <w:p>
            <w:pPr>
              <w:pStyle w:val="Normal"/>
              <w:snapToGrid w:val="false"/>
              <w:rPr/>
            </w:pPr>
            <w:r>
              <w:rPr/>
            </w:r>
          </w:p>
        </w:tc>
        <w:tc>
          <w:tcPr>
            <w:tcW w:w="4428" w:type="dxa"/>
            <w:tcBorders/>
          </w:tcPr>
          <w:p>
            <w:pPr>
              <w:pStyle w:val="BodyText"/>
              <w:snapToGrid w:val="false"/>
              <w:ind w:hanging="0" w:end="0"/>
              <w:jc w:val="start"/>
              <w:rPr/>
            </w:pPr>
            <w:r>
              <w:rPr/>
            </w:r>
          </w:p>
        </w:tc>
      </w:tr>
    </w:tbl>
    <w:p>
      <w:pPr>
        <w:pStyle w:val="AttorneyName"/>
        <w:rPr/>
      </w:pPr>
      <w:r>
        <w:rPr/>
      </w:r>
    </w:p>
    <w:p>
      <w:pPr>
        <w:pStyle w:val="AttorneyName"/>
        <w:rPr/>
      </w:pPr>
      <w:r>
        <w:rPr/>
      </w:r>
    </w:p>
    <w:p>
      <w:pPr>
        <w:pStyle w:val="AttorneyName"/>
        <w:ind w:hanging="0" w:end="0"/>
        <w:rPr/>
      </w:pPr>
      <w:r>
        <w:rPr/>
      </w:r>
    </w:p>
    <w:p>
      <w:pPr>
        <w:pStyle w:val="Heading1"/>
        <w:ind w:hanging="0" w:start="0"/>
        <w:rPr/>
      </w:pPr>
      <w:r>
        <w:rPr/>
        <w:t xml:space="preserve">COMMENTS OF THE </w:t>
      </w:r>
    </w:p>
    <w:p>
      <w:pPr>
        <w:pStyle w:val="Heading1"/>
        <w:ind w:hanging="0" w:start="0"/>
        <w:rPr/>
      </w:pPr>
      <w:r>
        <w:rPr/>
        <w:t xml:space="preserve">COALITION OF CALIFORNIA UTILITY EMPLOYEES </w:t>
      </w:r>
    </w:p>
    <w:p>
      <w:pPr>
        <w:pStyle w:val="Heading1"/>
        <w:ind w:hanging="0" w:start="0"/>
        <w:rPr/>
      </w:pPr>
      <w:r>
        <w:rPr/>
        <w:t xml:space="preserve">ON THE </w:t>
      </w:r>
    </w:p>
    <w:p>
      <w:pPr>
        <w:pStyle w:val="Heading1"/>
        <w:ind w:hanging="0" w:start="0"/>
        <w:rPr/>
      </w:pPr>
      <w:r>
        <w:rPr/>
        <w:t>PROPOSED DECISION OF COMMISSIONER BILAS</w:t>
      </w:r>
      <w:r>
        <w:rPr>
          <w:b w:val="false"/>
        </w:rPr>
        <w:t xml:space="preserve"> </w:t>
      </w:r>
    </w:p>
    <w:p>
      <w:pPr>
        <w:pStyle w:val="Normal"/>
        <w:jc w:val="center"/>
        <w:rPr/>
      </w:pPr>
      <w:r>
        <w:rPr/>
      </w:r>
    </w:p>
    <w:p>
      <w:pPr>
        <w:pStyle w:val="Heading6"/>
        <w:widowControl/>
        <w:ind w:hanging="0" w:end="0"/>
        <w:rPr/>
      </w:pPr>
      <w:r>
        <w:rPr/>
        <w:t>December 11, 2000</w:t>
      </w:r>
    </w:p>
    <w:p>
      <w:pPr>
        <w:pStyle w:val="Normal"/>
        <w:rPr>
          <w:b/>
        </w:rPr>
      </w:pPr>
      <w:r>
        <w:rPr>
          <w:b/>
        </w:rPr>
      </w:r>
    </w:p>
    <w:p>
      <w:pPr>
        <w:pStyle w:val="Normal"/>
        <w:rPr>
          <w:b/>
        </w:rPr>
      </w:pPr>
      <w:r>
        <w:rPr>
          <w:b/>
        </w:rPr>
      </w:r>
    </w:p>
    <w:p>
      <w:pPr>
        <w:pStyle w:val="Normal"/>
        <w:rPr>
          <w:b/>
        </w:rPr>
      </w:pPr>
      <w:r>
        <w:rPr>
          <w:b/>
        </w:rPr>
      </w:r>
    </w:p>
    <w:p>
      <w:pPr>
        <w:pStyle w:val="SingleSpacing"/>
        <w:spacing w:lineRule="exact" w:line="240"/>
        <w:rPr/>
      </w:pPr>
      <w:r>
        <w:rPr/>
      </w:r>
    </w:p>
    <w:p>
      <w:pPr>
        <w:pStyle w:val="Normal"/>
        <w:rPr/>
      </w:pPr>
      <w:r>
        <w:rPr/>
        <w:tab/>
        <w:tab/>
        <w:tab/>
        <w:tab/>
        <w:tab/>
        <w:tab/>
        <w:t>Marc D. Joseph</w:t>
      </w:r>
    </w:p>
    <w:p>
      <w:pPr>
        <w:pStyle w:val="Normal"/>
        <w:rPr/>
      </w:pPr>
      <w:r>
        <w:rPr/>
        <w:tab/>
        <w:tab/>
        <w:tab/>
        <w:tab/>
        <w:tab/>
        <w:tab/>
        <w:t>Katherine S. Poole</w:t>
      </w:r>
    </w:p>
    <w:p>
      <w:pPr>
        <w:pStyle w:val="Normal"/>
        <w:rPr/>
      </w:pPr>
      <w:r>
        <w:rPr/>
        <w:tab/>
        <w:tab/>
        <w:tab/>
        <w:tab/>
        <w:tab/>
        <w:tab/>
        <w:t>Adams Broadwell Joseph &amp; Cardozo</w:t>
      </w:r>
    </w:p>
    <w:p>
      <w:pPr>
        <w:pStyle w:val="Normal"/>
        <w:rPr/>
      </w:pPr>
      <w:r>
        <w:rPr/>
        <w:tab/>
        <w:tab/>
        <w:tab/>
        <w:tab/>
        <w:tab/>
        <w:tab/>
        <w:t>651 Gateway Boulevard, Suite 900</w:t>
      </w:r>
    </w:p>
    <w:p>
      <w:pPr>
        <w:pStyle w:val="Normal"/>
        <w:rPr/>
      </w:pPr>
      <w:r>
        <w:rPr/>
        <w:tab/>
        <w:tab/>
        <w:tab/>
        <w:tab/>
        <w:tab/>
        <w:tab/>
        <w:t>South San Francisco, CA  94080</w:t>
      </w:r>
    </w:p>
    <w:p>
      <w:pPr>
        <w:pStyle w:val="Normal"/>
        <w:rPr/>
      </w:pPr>
      <w:r>
        <w:rPr/>
        <w:tab/>
        <w:tab/>
        <w:tab/>
        <w:tab/>
        <w:tab/>
        <w:tab/>
        <w:t>(650) 589-1660 Voice</w:t>
      </w:r>
    </w:p>
    <w:p>
      <w:pPr>
        <w:pStyle w:val="Normal"/>
        <w:rPr/>
      </w:pPr>
      <w:r>
        <w:rPr/>
        <w:tab/>
        <w:tab/>
        <w:tab/>
        <w:tab/>
        <w:tab/>
        <w:tab/>
        <w:t>(650) 589-5062 Facsimile</w:t>
      </w:r>
    </w:p>
    <w:p>
      <w:pPr>
        <w:pStyle w:val="Normal"/>
        <w:rPr/>
      </w:pPr>
      <w:r>
        <w:rPr/>
        <w:tab/>
        <w:tab/>
        <w:tab/>
        <w:tab/>
        <w:tab/>
        <w:tab/>
        <w:t>kpoole@adamsbroadwell.com</w:t>
      </w:r>
    </w:p>
    <w:p>
      <w:pPr>
        <w:pStyle w:val="Normal"/>
        <w:tabs>
          <w:tab w:val="clear" w:pos="720"/>
          <w:tab w:val="left" w:pos="3720" w:leader="none"/>
        </w:tabs>
        <w:rPr/>
      </w:pPr>
      <w:r>
        <w:rPr/>
        <w:tab/>
      </w:r>
    </w:p>
    <w:p>
      <w:pPr>
        <w:pStyle w:val="Normal"/>
        <w:rPr/>
      </w:pPr>
      <w:r>
        <w:rPr/>
        <w:tab/>
        <w:tab/>
        <w:tab/>
        <w:tab/>
        <w:tab/>
        <w:tab/>
        <w:t xml:space="preserve">Attorneys for CUE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pPr>
      <w:r>
        <w:rPr/>
      </w:r>
    </w:p>
    <w:p>
      <w:pPr>
        <w:pStyle w:val="Normal"/>
        <w:rPr>
          <w:b/>
        </w:rPr>
      </w:pPr>
      <w:r>
        <w:rPr>
          <w:b/>
        </w:rPr>
        <w:t>I.</w:t>
        <w:tab/>
        <w:t>INTRODUCTION</w:t>
      </w:r>
    </w:p>
    <w:p>
      <w:pPr>
        <w:pStyle w:val="Normal"/>
        <w:rPr>
          <w:b/>
        </w:rPr>
      </w:pPr>
      <w:r>
        <w:rPr>
          <w:b/>
        </w:rPr>
      </w:r>
    </w:p>
    <w:p>
      <w:pPr>
        <w:pStyle w:val="Normal"/>
        <w:spacing w:lineRule="auto" w:line="480"/>
        <w:rPr/>
      </w:pPr>
      <w:r>
        <w:rPr/>
        <w:tab/>
        <w:t xml:space="preserve">Pursuant to Rule 77 of the Commission’s Rules of Practice and Procedure, the Coalition of California Utility Employees (“CUE”) submits these comments on the Proposed Decision of Commissioner Bilas (“PD”).  </w:t>
      </w:r>
    </w:p>
    <w:p>
      <w:pPr>
        <w:pStyle w:val="BodyTextIndent2"/>
        <w:rPr/>
      </w:pPr>
      <w:r>
        <w:rPr/>
        <w:t>We applaud Commissioner Bilas and ALJ Biren on their efforts to put the brakes on an ill-advised and untimely drive towards natural gas deregulation.  We wholeheartedly agree with the PD’s findings that:</w:t>
      </w:r>
    </w:p>
    <w:p>
      <w:pPr>
        <w:pStyle w:val="Normal"/>
        <w:numPr>
          <w:ilvl w:val="0"/>
          <w:numId w:val="2"/>
        </w:numPr>
        <w:ind w:hanging="360" w:start="1584" w:end="0"/>
        <w:rPr/>
      </w:pPr>
      <w:r>
        <w:rPr/>
        <w:t>“</w:t>
      </w:r>
      <w:r>
        <w:rPr/>
        <w:t>the benefits of … restructuring to enhance competition are speculative, particularly at this time” (PD, p. 10);</w:t>
      </w:r>
    </w:p>
    <w:p>
      <w:pPr>
        <w:pStyle w:val="Normal"/>
        <w:rPr/>
      </w:pPr>
      <w:r>
        <w:rPr/>
      </w:r>
    </w:p>
    <w:p>
      <w:pPr>
        <w:pStyle w:val="Normal"/>
        <w:numPr>
          <w:ilvl w:val="0"/>
          <w:numId w:val="2"/>
        </w:numPr>
        <w:ind w:hanging="360" w:start="1584" w:end="0"/>
        <w:rPr/>
      </w:pPr>
      <w:r>
        <w:rPr/>
        <w:t>“</w:t>
      </w:r>
      <w:r>
        <w:rPr/>
        <w:t>open[ing] the gas market further … invites manipulation as well as innovation” (PD, p. 34); and that</w:t>
      </w:r>
    </w:p>
    <w:p>
      <w:pPr>
        <w:pStyle w:val="Normal"/>
        <w:rPr/>
      </w:pPr>
      <w:r>
        <w:rPr/>
      </w:r>
    </w:p>
    <w:p>
      <w:pPr>
        <w:pStyle w:val="Normal"/>
        <w:numPr>
          <w:ilvl w:val="0"/>
          <w:numId w:val="2"/>
        </w:numPr>
        <w:ind w:hanging="360" w:start="1584" w:end="0"/>
        <w:rPr/>
      </w:pPr>
      <w:r>
        <w:rPr/>
        <w:t>“</w:t>
      </w:r>
      <w:r>
        <w:rPr/>
        <w:t>[i]n light of the present crisis arising from high electric rates in post-rate freeze San Diego, we are reluctant to make changes that have the remotest possibility of leading to even higher rates” (PD, p. 47).</w:t>
      </w:r>
    </w:p>
    <w:p>
      <w:pPr>
        <w:pStyle w:val="Normal"/>
        <w:rPr/>
      </w:pPr>
      <w:r>
        <w:rPr/>
      </w:r>
    </w:p>
    <w:p>
      <w:pPr>
        <w:pStyle w:val="BodyTextIndent"/>
        <w:spacing w:lineRule="auto" w:line="480"/>
        <w:ind w:firstLine="720" w:start="0" w:end="0"/>
        <w:rPr/>
      </w:pPr>
      <w:r>
        <w:rPr/>
        <w:t xml:space="preserve">However, while the PD expresses appropriate sentiments, it would still further deregulate the natural gas market, even though that market is already failing California consumers.  The record in this proceeding was developed prior to the current extraordinary and unexplained increases in California’s natural gas rates.  These rates greatly exceed those of our neighbor’s.  Therefore, the Commission has not adequately explored in this proceeding whether any of the changes proposed in the PD would exacerbate outrageously high natural gas prices in the current California market.  California’s electric markets are already reeling from a rush to deregulation without full examination of the potential consequences to consumers.  The Commission should not make the same mistake here.  </w:t>
      </w:r>
    </w:p>
    <w:p>
      <w:pPr>
        <w:pStyle w:val="BodyTextIndent"/>
        <w:spacing w:lineRule="auto" w:line="480"/>
        <w:ind w:firstLine="720" w:start="0" w:end="0"/>
        <w:rPr/>
      </w:pPr>
      <w:r>
        <w:rPr/>
        <w:t>The Commission does not have any evidence before it that the PD’s proposals to change the structure of the core aggregation program and implement billing credits would not adversely affect core customers and retail rates in the current market.  (</w:t>
      </w:r>
      <w:r>
        <w:rPr>
          <w:i/>
          <w:iCs/>
        </w:rPr>
        <w:t>See</w:t>
      </w:r>
      <w:r>
        <w:rPr/>
        <w:t xml:space="preserve"> PD, pp. 90-105.)  With regard to changes to the core aggregation program, the PD finds that:</w:t>
      </w:r>
    </w:p>
    <w:p>
      <w:pPr>
        <w:pStyle w:val="BodyTextIndent"/>
        <w:rPr/>
      </w:pPr>
      <w:r>
        <w:rPr/>
        <w:t xml:space="preserve">Given the very low rate of penetration into the residential core customer market, we </w:t>
      </w:r>
      <w:r>
        <w:rPr>
          <w:i/>
          <w:iCs/>
        </w:rPr>
        <w:t>do not believe</w:t>
      </w:r>
      <w:r>
        <w:rPr/>
        <w:t xml:space="preserve"> that dispensing with either the [core aggregation program] cap or the threshold will make a significant difference.  … Under current market conditions, we </w:t>
      </w:r>
      <w:r>
        <w:rPr>
          <w:i/>
          <w:iCs/>
        </w:rPr>
        <w:t>do not think</w:t>
      </w:r>
      <w:r>
        <w:rPr/>
        <w:t xml:space="preserve"> that there will be a mass exodus from utility bundled service.  (PD, pp. 95-96 (emphasis added).)  </w:t>
      </w:r>
    </w:p>
    <w:p>
      <w:pPr>
        <w:pStyle w:val="BodyTextIndent"/>
        <w:rPr/>
      </w:pPr>
      <w:r>
        <w:rPr/>
      </w:r>
    </w:p>
    <w:p>
      <w:pPr>
        <w:pStyle w:val="BodyTextIndent"/>
        <w:spacing w:lineRule="auto" w:line="480"/>
        <w:ind w:start="0" w:end="0"/>
        <w:rPr/>
      </w:pPr>
      <w:r>
        <w:rPr/>
        <w:t>However, there is no evidence supporting these beliefs.  In fact, given current high natural gas rates, customers may very well flock to unscrupulous core aggregators offering unsustainable deals.  The PD acknowledges that consumers are not protected from these unscrupulous aggregators until the Legislature enacts consumer protection rules (which it may or may not do).  (</w:t>
      </w:r>
      <w:r>
        <w:rPr>
          <w:i/>
          <w:iCs/>
        </w:rPr>
        <w:t>See</w:t>
      </w:r>
      <w:r>
        <w:rPr/>
        <w:t xml:space="preserve"> PD, pp. 98-99.)  The PD also acknowledges that “[i]n Georgia and elsewhere, companies in competition with the utility have gone bankrupt, had billing problems and otherwise failed to deliver needed gas at the prices offered.”  (PD, p. 98 (footnote omitted).)  At the very least, the PD puts the cart before the horse by subjecting consumers to potentially fraudulent actors without having the means to protect them.   </w:t>
      </w:r>
    </w:p>
    <w:p>
      <w:pPr>
        <w:pStyle w:val="BodyTextIndent"/>
        <w:spacing w:lineRule="auto" w:line="480"/>
        <w:ind w:start="0" w:end="0"/>
        <w:rPr/>
      </w:pPr>
      <w:r>
        <w:rPr/>
        <w:tab/>
        <w:t xml:space="preserve">Similarly, the PD proposes to allow utilities to provide billing credits in order to encourage retail competition, but the Commission provides no protection for consumers from fraudulent billing practices.  Other states have experienced problems in the area of billing that should be addressed </w:t>
      </w:r>
      <w:r>
        <w:rPr>
          <w:i/>
          <w:iCs/>
        </w:rPr>
        <w:t>first</w:t>
      </w:r>
      <w:r>
        <w:rPr/>
        <w:t xml:space="preserve">, not after problems have occurred.  The PD’s backward approach, again, reflects the ill-founded assumptions about deregulation that prompted the current electric crisis.  It should not be repeated here.      </w:t>
      </w:r>
    </w:p>
    <w:p>
      <w:pPr>
        <w:pStyle w:val="Normal"/>
        <w:spacing w:lineRule="auto" w:line="480"/>
        <w:ind w:firstLine="720" w:end="0"/>
        <w:rPr/>
      </w:pPr>
      <w:r>
        <w:rPr/>
        <w:t xml:space="preserve">The PD recognizes that the Commission should not make </w:t>
      </w:r>
      <w:r>
        <w:rPr>
          <w:i/>
          <w:iCs/>
        </w:rPr>
        <w:t xml:space="preserve">any </w:t>
      </w:r>
      <w:r>
        <w:rPr/>
        <w:t xml:space="preserve">changes at this time “that have the remotest possibility” of leading to higher gas or electric rates.  (PD, p. 47.)  We urge the Commission to heed this warning and reject the PD’s proposals for changes to the core aggregation program and billing systems.  Now is not the time to make changes to the natural gas market with consequences that are unknown and unexamined.    </w:t>
      </w:r>
    </w:p>
    <w:p>
      <w:pPr>
        <w:pStyle w:val="Heading"/>
        <w:ind w:hanging="0" w:end="0"/>
        <w:jc w:val="start"/>
        <w:rPr>
          <w:b w:val="false"/>
        </w:rPr>
      </w:pPr>
      <w:r>
        <w:rPr>
          <w:b w:val="false"/>
        </w:rPr>
        <w:t>Dated:  December 11, 2000</w:t>
        <w:tab/>
        <w:tab/>
        <w:t>Respectfully submitted,</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ab/>
        <w:tab/>
        <w:tab/>
        <w:tab/>
        <w:tab/>
        <w:t>__________________________</w:t>
      </w:r>
    </w:p>
    <w:p>
      <w:pPr>
        <w:pStyle w:val="Heading"/>
        <w:jc w:val="start"/>
        <w:rPr>
          <w:b w:val="false"/>
        </w:rPr>
      </w:pPr>
      <w:r>
        <w:rPr>
          <w:b w:val="false"/>
        </w:rPr>
        <w:tab/>
        <w:tab/>
        <w:tab/>
        <w:tab/>
        <w:tab/>
        <w:t>Marc D. Joseph</w:t>
      </w:r>
    </w:p>
    <w:p>
      <w:pPr>
        <w:pStyle w:val="Heading"/>
        <w:jc w:val="start"/>
        <w:rPr>
          <w:b w:val="false"/>
        </w:rPr>
      </w:pPr>
      <w:r>
        <w:rPr>
          <w:b w:val="false"/>
        </w:rPr>
        <w:tab/>
        <w:tab/>
        <w:tab/>
        <w:tab/>
        <w:tab/>
        <w:t>Katherine S. Poole</w:t>
      </w:r>
    </w:p>
    <w:p>
      <w:pPr>
        <w:pStyle w:val="Heading"/>
        <w:jc w:val="start"/>
        <w:rPr>
          <w:b w:val="false"/>
        </w:rPr>
      </w:pPr>
      <w:r>
        <w:rPr>
          <w:b w:val="false"/>
        </w:rPr>
        <w:tab/>
        <w:tab/>
        <w:tab/>
        <w:tab/>
        <w:tab/>
        <w:t>Adams Broadwell Joseph &amp; Cardozo</w:t>
      </w:r>
    </w:p>
    <w:p>
      <w:pPr>
        <w:pStyle w:val="Heading"/>
        <w:jc w:val="start"/>
        <w:rPr>
          <w:b w:val="false"/>
        </w:rPr>
      </w:pPr>
      <w:r>
        <w:rPr>
          <w:b w:val="false"/>
        </w:rPr>
        <w:tab/>
        <w:tab/>
        <w:tab/>
        <w:tab/>
        <w:tab/>
        <w:t>651 Gateway Blvd., Suite 900</w:t>
      </w:r>
    </w:p>
    <w:p>
      <w:pPr>
        <w:pStyle w:val="Heading"/>
        <w:jc w:val="start"/>
        <w:rPr>
          <w:b w:val="false"/>
        </w:rPr>
      </w:pPr>
      <w:r>
        <w:rPr>
          <w:b w:val="false"/>
        </w:rPr>
        <w:tab/>
        <w:tab/>
        <w:tab/>
        <w:tab/>
        <w:tab/>
        <w:t>South San Francisco, CA  94080</w:t>
      </w:r>
    </w:p>
    <w:p>
      <w:pPr>
        <w:pStyle w:val="Heading"/>
        <w:jc w:val="start"/>
        <w:rPr>
          <w:b w:val="false"/>
        </w:rPr>
      </w:pPr>
      <w:r>
        <w:rPr>
          <w:b w:val="false"/>
        </w:rPr>
        <w:tab/>
        <w:tab/>
        <w:tab/>
        <w:tab/>
        <w:tab/>
        <w:t>(650) 589-1660 Telephone</w:t>
      </w:r>
    </w:p>
    <w:p>
      <w:pPr>
        <w:pStyle w:val="Heading"/>
        <w:jc w:val="start"/>
        <w:rPr>
          <w:b w:val="false"/>
        </w:rPr>
      </w:pPr>
      <w:r>
        <w:rPr>
          <w:b w:val="false"/>
        </w:rPr>
        <w:tab/>
        <w:tab/>
        <w:tab/>
        <w:tab/>
        <w:tab/>
        <w:t>(650) 589-5062 Fax</w:t>
      </w:r>
    </w:p>
    <w:p>
      <w:pPr>
        <w:pStyle w:val="Heading"/>
        <w:jc w:val="start"/>
        <w:rPr/>
      </w:pPr>
      <w:r>
        <w:rPr/>
        <w:tab/>
        <w:tab/>
        <w:tab/>
        <w:tab/>
        <w:tab/>
      </w:r>
      <w:r>
        <w:rPr>
          <w:b w:val="false"/>
        </w:rPr>
        <w:t>kpoole@adamsbroadwell.com</w:t>
      </w:r>
    </w:p>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1011a-190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1011a-190</w:t>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578"/>
        </w:tabs>
        <w:ind w:start="1578"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3"/>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ind w:hanging="0" w:start="720" w:end="0"/>
      <w:outlineLvl w:val="2"/>
    </w:pPr>
    <w:rPr>
      <w:b/>
      <w:bCs/>
    </w:rPr>
  </w:style>
  <w:style w:type="paragraph" w:styleId="Heading6">
    <w:name w:val="heading 6"/>
    <w:basedOn w:val="Normal"/>
    <w:next w:val="Normal"/>
    <w:qFormat/>
    <w:pPr>
      <w:keepNext w:val="true"/>
      <w:widowControl w:val="false"/>
      <w:numPr>
        <w:ilvl w:val="5"/>
        <w:numId w:val="1"/>
      </w:numPr>
      <w:spacing w:lineRule="auto" w:line="480"/>
      <w:ind w:firstLine="720" w:start="0" w:end="0"/>
      <w:jc w:val="center"/>
      <w:outlineLvl w:val="5"/>
    </w:pPr>
    <w:rPr>
      <w:b/>
      <w:szCs w:val="20"/>
    </w:rPr>
  </w:style>
  <w:style w:type="paragraph" w:styleId="Heading8">
    <w:name w:val="heading 8"/>
    <w:basedOn w:val="Normal"/>
    <w:next w:val="Normal"/>
    <w:qFormat/>
    <w:pPr>
      <w:keepNext w:val="true"/>
      <w:widowControl w:val="false"/>
      <w:numPr>
        <w:ilvl w:val="7"/>
        <w:numId w:val="1"/>
      </w:numPr>
      <w:jc w:val="center"/>
      <w:outlineLvl w:val="7"/>
    </w:pPr>
    <w:rPr>
      <w:b/>
      <w:szCs w:val="20"/>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widowControl w:val="false"/>
      <w:ind w:firstLine="720" w:start="0" w:end="0"/>
      <w:jc w:val="center"/>
    </w:pPr>
    <w:rPr>
      <w:b/>
      <w:szCs w:val="20"/>
    </w:rPr>
  </w:style>
  <w:style w:type="paragraph" w:styleId="BodyText">
    <w:name w:val="Body Text"/>
    <w:basedOn w:val="Normal"/>
    <w:pPr>
      <w:widowControl w:val="false"/>
      <w:ind w:firstLine="720" w:start="0" w:end="0"/>
      <w:jc w:val="center"/>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SingleSpacing">
    <w:name w:val="Single Spacing"/>
    <w:basedOn w:val="Normal"/>
    <w:qFormat/>
    <w:pPr>
      <w:widowControl w:val="false"/>
      <w:spacing w:lineRule="exact" w:line="227"/>
      <w:ind w:firstLine="720" w:start="0" w:end="0"/>
      <w:jc w:val="center"/>
    </w:pPr>
    <w:rPr>
      <w:szCs w:val="20"/>
    </w:rPr>
  </w:style>
  <w:style w:type="paragraph" w:styleId="DoubleSpacing">
    <w:name w:val="Double Spacing"/>
    <w:basedOn w:val="Normal"/>
    <w:qFormat/>
    <w:pPr>
      <w:widowControl w:val="false"/>
      <w:spacing w:lineRule="auto" w:line="480"/>
      <w:ind w:firstLine="720" w:start="0" w:end="0"/>
      <w:jc w:val="center"/>
    </w:pPr>
    <w:rPr>
      <w:szCs w:val="20"/>
    </w:rPr>
  </w:style>
  <w:style w:type="paragraph" w:styleId="AttorneyName">
    <w:name w:val="Attorney Name"/>
    <w:basedOn w:val="SingleSpacing"/>
    <w:qFormat/>
    <w:pPr/>
    <w:rPr/>
  </w:style>
  <w:style w:type="paragraph" w:styleId="BodyTextIndent">
    <w:name w:val="Body Text Indent"/>
    <w:basedOn w:val="Normal"/>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2000-12-12T16:01:00Z</dcterms:created>
  <dc:creator>Valued Gateway Client</dc:creator>
  <dc:description/>
  <dc:language>en-CA</dc:language>
  <cp:lastModifiedBy>Marc D. Joseph</cp:lastModifiedBy>
  <cp:lastPrinted>2000-12-11T11:31:00Z</cp:lastPrinted>
  <dcterms:modified xsi:type="dcterms:W3CDTF">2000-12-12T16:01:00Z</dcterms:modified>
  <cp:revision>2</cp:revision>
  <dc:subject/>
  <dc:title>[ATCP 99 caption]</dc:title>
</cp:coreProperties>
</file>