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October 18, 2001</w:t>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pPr>
      <w:r>
        <w:rPr/>
        <w:t>Docket Office</w:t>
      </w:r>
    </w:p>
    <w:p>
      <w:pPr>
        <w:pStyle w:val="Normal"/>
        <w:rPr/>
      </w:pPr>
      <w:r>
        <w:rPr/>
        <w:t>California Public Utilities Commission</w:t>
      </w:r>
    </w:p>
    <w:p>
      <w:pPr>
        <w:pStyle w:val="Normal"/>
        <w:rPr/>
      </w:pPr>
      <w:r>
        <w:rPr/>
        <w:t>505 Van Ness Avenue</w:t>
      </w:r>
    </w:p>
    <w:p>
      <w:pPr>
        <w:pStyle w:val="Normal"/>
        <w:rPr/>
      </w:pPr>
      <w:r>
        <w:rPr/>
        <w:t>San Francisco  CA  94102-3298</w:t>
      </w:r>
    </w:p>
    <w:p>
      <w:pPr>
        <w:pStyle w:val="Normal"/>
        <w:rPr/>
      </w:pPr>
      <w:r>
        <w:rPr/>
      </w:r>
    </w:p>
    <w:p>
      <w:pPr>
        <w:pStyle w:val="BodyTextIndent"/>
        <w:rPr/>
      </w:pPr>
      <w:r>
        <w:rPr/>
        <w:tab/>
        <w:t>Re:</w:t>
        <w:tab/>
        <w:t>Revised Proposed Decision of Commissioner Bilas Regarding the Investigation on the Commission’s Own Motion in Southern California Gas Company and San Diego Gas and Electric Company, Docket I.99-07-003 (Filed July 8, 1999)</w:t>
      </w:r>
    </w:p>
    <w:p>
      <w:pPr>
        <w:pStyle w:val="Normal"/>
        <w:tabs>
          <w:tab w:val="left" w:pos="720" w:leader="none"/>
        </w:tabs>
        <w:ind w:hanging="1440" w:start="1440" w:end="0"/>
        <w:rPr/>
      </w:pPr>
      <w:r>
        <w:rPr/>
      </w:r>
    </w:p>
    <w:p>
      <w:pPr>
        <w:pStyle w:val="Normal"/>
        <w:tabs>
          <w:tab w:val="left" w:pos="720" w:leader="none"/>
        </w:tabs>
        <w:ind w:hanging="1440" w:start="1440" w:end="0"/>
        <w:rPr/>
      </w:pPr>
      <w:r>
        <w:rPr/>
        <w:t>Docket Office:</w:t>
      </w:r>
    </w:p>
    <w:p>
      <w:pPr>
        <w:pStyle w:val="Normal"/>
        <w:tabs>
          <w:tab w:val="left" w:pos="720" w:leader="none"/>
        </w:tabs>
        <w:ind w:hanging="1440" w:start="1440" w:end="0"/>
        <w:rPr/>
      </w:pPr>
      <w:r>
        <w:rPr/>
      </w:r>
    </w:p>
    <w:p>
      <w:pPr>
        <w:pStyle w:val="Normal"/>
        <w:tabs>
          <w:tab w:val="left" w:pos="720" w:leader="none"/>
        </w:tabs>
        <w:jc w:val="both"/>
        <w:rPr/>
      </w:pPr>
      <w:r>
        <w:rPr/>
        <w:t xml:space="preserve">Transwestern Pipeline Company (Transwestern) appreciates the opportunity to submit comments on the referenced matter prior to the Commission’s October 25, 2001 agenda meeting.  Transwestern is one of the principle interstate transporters of natural gas for ultimate consumption in the service areas of Southern California Gas Company and San Diego Gas and Electric Company (collectively referred to herein as “SoCalGas”).  Transwestern has supplied natural gas to California consumers since 1960.  Transwestern has participated in the above-referenced docket since its inception.  </w:t>
      </w:r>
    </w:p>
    <w:p>
      <w:pPr>
        <w:pStyle w:val="Normal"/>
        <w:tabs>
          <w:tab w:val="left" w:pos="720" w:leader="none"/>
        </w:tabs>
        <w:jc w:val="both"/>
        <w:rPr/>
      </w:pPr>
      <w:r>
        <w:rPr/>
      </w:r>
    </w:p>
    <w:p>
      <w:pPr>
        <w:pStyle w:val="BodyText"/>
        <w:spacing w:lineRule="auto" w:line="240"/>
        <w:rPr/>
      </w:pPr>
      <w:r>
        <w:rPr/>
        <w:t>Transwestern supports the revised proposed decision of Commissioner Bilas dated October 10, 2001 (“Proposed Decision”) and respectfully requests expedited approval.  The modifications to the Comprehensive Gas OII Settlement Agreement (“Comprehensive Settlement”) set forth in the Proposed Decision are reasonable and, when viewed in its entirety, the modified Comprehensive Settlement is in the interest of the California consumers.  Transwestern is on file supporting the Comprehensive Settlement.  None of the proposed modifications will cause Transwestern to withdraw its support.</w:t>
      </w:r>
    </w:p>
    <w:p>
      <w:pPr>
        <w:pStyle w:val="Normal"/>
        <w:tabs>
          <w:tab w:val="left" w:pos="720" w:leader="none"/>
        </w:tabs>
        <w:jc w:val="both"/>
        <w:rPr/>
      </w:pPr>
      <w:r>
        <w:rPr/>
      </w:r>
    </w:p>
    <w:p>
      <w:pPr>
        <w:pStyle w:val="Normal"/>
        <w:tabs>
          <w:tab w:val="left" w:pos="720" w:leader="none"/>
        </w:tabs>
        <w:jc w:val="both"/>
        <w:rPr/>
      </w:pPr>
      <w:r>
        <w:rPr/>
        <w:t xml:space="preserve">Although Transwestern supports the revised Proposed Decision as a comprehensive resolution to the delicate issues raised in this proceeding, Transwestern does not believe the proposed secondary market price cap of 120% is supported by the record or sound regulatory policy.  Transwestern submits secondary transactions should be priced by the market and not by an artificial barrier.  Transwestern believes the Commission should allow the new secondary market to develop without the restraint of market caps.  If, after </w:t>
      </w:r>
      <w:r>
        <w:br w:type="page"/>
      </w:r>
    </w:p>
    <w:p>
      <w:pPr>
        <w:pStyle w:val="Normal"/>
        <w:tabs>
          <w:tab w:val="left" w:pos="720" w:leader="none"/>
        </w:tabs>
        <w:jc w:val="both"/>
        <w:rPr/>
      </w:pPr>
      <w:r>
        <w:rPr/>
        <w:t>the changes on SoCalGas are implemented, it is determined that mitigation measures may be appropriate, the Commission could address any concerns with the benefit of actual experience.</w:t>
      </w:r>
    </w:p>
    <w:p>
      <w:pPr>
        <w:pStyle w:val="Normal"/>
        <w:tabs>
          <w:tab w:val="left" w:pos="720" w:leader="none"/>
        </w:tabs>
        <w:jc w:val="both"/>
        <w:rPr/>
      </w:pPr>
      <w:r>
        <w:rPr/>
      </w:r>
    </w:p>
    <w:p>
      <w:pPr>
        <w:pStyle w:val="Normal"/>
        <w:tabs>
          <w:tab w:val="left" w:pos="720" w:leader="none"/>
        </w:tabs>
        <w:jc w:val="both"/>
        <w:rPr/>
      </w:pPr>
      <w:r>
        <w:rPr/>
        <w:t>In light of the comments submitted herein, Transwestern Pipeline Company respectfully requests the Commission take action on the proposed decision and approve the same at the Commission’s October 25, 2001 meeting.</w:t>
      </w:r>
    </w:p>
    <w:p>
      <w:pPr>
        <w:pStyle w:val="Normal"/>
        <w:tabs>
          <w:tab w:val="left" w:pos="720" w:leader="none"/>
        </w:tabs>
        <w:rPr/>
      </w:pPr>
      <w:r>
        <w:rPr/>
      </w:r>
    </w:p>
    <w:p>
      <w:pPr>
        <w:pStyle w:val="Normal"/>
        <w:tabs>
          <w:tab w:val="left" w:pos="720" w:leader="none"/>
        </w:tabs>
        <w:rPr/>
      </w:pPr>
      <w:r>
        <w:rPr/>
        <w:tab/>
        <w:tab/>
        <w:tab/>
        <w:tab/>
        <w:tab/>
        <w:tab/>
        <w:t>Respectfully submitted,</w:t>
      </w:r>
    </w:p>
    <w:p>
      <w:pPr>
        <w:pStyle w:val="Normal"/>
        <w:tabs>
          <w:tab w:val="left" w:pos="720" w:leader="none"/>
        </w:tabs>
        <w:rPr/>
      </w:pPr>
      <w:r>
        <w:rPr/>
      </w:r>
    </w:p>
    <w:p>
      <w:pPr>
        <w:pStyle w:val="Normal"/>
        <w:tabs>
          <w:tab w:val="left" w:pos="720" w:leader="none"/>
        </w:tabs>
        <w:rPr/>
      </w:pPr>
      <w:r>
        <w:rPr/>
        <w:tab/>
        <w:tab/>
        <w:tab/>
        <w:tab/>
        <w:tab/>
        <w:tab/>
        <w:t>TRANSWESTERN PIPELINE COMPANY</w:t>
      </w:r>
    </w:p>
    <w:p>
      <w:pPr>
        <w:pStyle w:val="Normal"/>
        <w:tabs>
          <w:tab w:val="left" w:pos="720" w:leader="none"/>
        </w:tabs>
        <w:rPr/>
      </w:pPr>
      <w:r>
        <w:rPr/>
      </w:r>
    </w:p>
    <w:p>
      <w:pPr>
        <w:pStyle w:val="Normal"/>
        <w:tabs>
          <w:tab w:val="clear" w:pos="720"/>
          <w:tab w:val="left" w:pos="0" w:leader="none"/>
        </w:tabs>
        <w:suppressAutoHyphens w:val="true"/>
        <w:ind w:start="3600" w:end="0"/>
        <w:jc w:val="both"/>
        <w:rPr>
          <w:spacing w:val="-3"/>
        </w:rPr>
      </w:pPr>
      <w:r>
        <w:rPr>
          <w:spacing w:val="-3"/>
        </w:rPr>
      </w:r>
    </w:p>
    <w:p>
      <w:pPr>
        <w:pStyle w:val="Normal"/>
        <w:tabs>
          <w:tab w:val="clear" w:pos="720"/>
          <w:tab w:val="left" w:pos="0" w:leader="none"/>
          <w:tab w:val="left" w:pos="1260" w:leader="none"/>
          <w:tab w:val="left" w:pos="3240" w:leader="none"/>
        </w:tabs>
        <w:suppressAutoHyphens w:val="true"/>
        <w:ind w:start="2880" w:end="0"/>
        <w:jc w:val="both"/>
        <w:rPr>
          <w:spacing w:val="-3"/>
        </w:rPr>
      </w:pPr>
      <w:r>
        <w:rPr>
          <w:spacing w:val="-3"/>
        </w:rPr>
        <w:tab/>
        <w:tab/>
        <w:tab/>
        <w:t>By:____________________________</w:t>
      </w:r>
    </w:p>
    <w:p>
      <w:pPr>
        <w:pStyle w:val="Normal"/>
        <w:tabs>
          <w:tab w:val="clear" w:pos="720"/>
          <w:tab w:val="left" w:pos="0" w:leader="none"/>
          <w:tab w:val="left" w:pos="4680" w:leader="none"/>
        </w:tabs>
        <w:suppressAutoHyphens w:val="true"/>
        <w:ind w:start="3600" w:end="0"/>
        <w:jc w:val="both"/>
        <w:rPr>
          <w:spacing w:val="-3"/>
        </w:rPr>
      </w:pPr>
      <w:r>
        <w:rPr>
          <w:spacing w:val="-3"/>
        </w:rPr>
        <w:tab/>
        <w:t>J. Gregory Porter</w:t>
      </w:r>
    </w:p>
    <w:p>
      <w:pPr>
        <w:pStyle w:val="Normal"/>
        <w:tabs>
          <w:tab w:val="clear" w:pos="720"/>
          <w:tab w:val="left" w:pos="0" w:leader="none"/>
          <w:tab w:val="left" w:pos="4680" w:leader="none"/>
        </w:tabs>
        <w:suppressAutoHyphens w:val="true"/>
        <w:ind w:start="3600" w:end="0"/>
        <w:jc w:val="both"/>
        <w:rPr>
          <w:spacing w:val="-3"/>
        </w:rPr>
      </w:pPr>
      <w:r>
        <w:rPr>
          <w:spacing w:val="-3"/>
        </w:rPr>
        <w:tab/>
        <w:t>Assistant General Counsel</w:t>
      </w:r>
    </w:p>
    <w:p>
      <w:pPr>
        <w:pStyle w:val="Normal"/>
        <w:tabs>
          <w:tab w:val="clear" w:pos="720"/>
          <w:tab w:val="left" w:pos="0" w:leader="none"/>
          <w:tab w:val="left" w:pos="4680" w:leader="none"/>
        </w:tabs>
        <w:suppressAutoHyphens w:val="true"/>
        <w:ind w:start="3600" w:end="0"/>
        <w:jc w:val="both"/>
        <w:rPr>
          <w:spacing w:val="-3"/>
        </w:rPr>
      </w:pPr>
      <w:r>
        <w:rPr>
          <w:spacing w:val="-3"/>
        </w:rPr>
        <w:tab/>
        <w:t>Tony Pryor</w:t>
      </w:r>
    </w:p>
    <w:p>
      <w:pPr>
        <w:pStyle w:val="Normal"/>
        <w:tabs>
          <w:tab w:val="clear" w:pos="720"/>
          <w:tab w:val="left" w:pos="0" w:leader="none"/>
          <w:tab w:val="left" w:pos="4680" w:leader="none"/>
        </w:tabs>
        <w:suppressAutoHyphens w:val="true"/>
        <w:ind w:start="3600" w:end="0"/>
        <w:jc w:val="both"/>
        <w:rPr>
          <w:spacing w:val="-3"/>
        </w:rPr>
      </w:pPr>
      <w:r>
        <w:rPr>
          <w:spacing w:val="-3"/>
        </w:rPr>
        <w:tab/>
        <w:t>Senior Counsel</w:t>
      </w:r>
    </w:p>
    <w:p>
      <w:pPr>
        <w:pStyle w:val="Normal"/>
        <w:tabs>
          <w:tab w:val="clear" w:pos="720"/>
          <w:tab w:val="left" w:pos="0" w:leader="none"/>
          <w:tab w:val="left" w:pos="4680" w:leader="none"/>
        </w:tabs>
        <w:suppressAutoHyphens w:val="true"/>
        <w:ind w:start="3600" w:end="0"/>
        <w:jc w:val="both"/>
        <w:rPr>
          <w:spacing w:val="-3"/>
        </w:rPr>
      </w:pPr>
      <w:r>
        <w:rPr>
          <w:spacing w:val="-3"/>
        </w:rPr>
        <w:tab/>
        <w:t>P. O. Box 3330</w:t>
      </w:r>
    </w:p>
    <w:p>
      <w:pPr>
        <w:pStyle w:val="Normal"/>
        <w:tabs>
          <w:tab w:val="clear" w:pos="720"/>
          <w:tab w:val="left" w:pos="0" w:leader="none"/>
          <w:tab w:val="left" w:pos="4680" w:leader="none"/>
        </w:tabs>
        <w:suppressAutoHyphens w:val="true"/>
        <w:ind w:start="3600" w:end="0"/>
        <w:jc w:val="both"/>
        <w:rPr>
          <w:spacing w:val="-3"/>
        </w:rPr>
      </w:pPr>
      <w:r>
        <w:rPr>
          <w:spacing w:val="-3"/>
        </w:rPr>
        <w:tab/>
        <w:t>Omaha, Nebraska  68103-0330</w:t>
      </w:r>
    </w:p>
    <w:p>
      <w:pPr>
        <w:sectPr>
          <w:footerReference w:type="default" r:id="rId2"/>
          <w:footerReference w:type="first" r:id="rId3"/>
          <w:type w:val="nextPage"/>
          <w:pgSz w:w="12240" w:h="15840"/>
          <w:pgMar w:left="1728" w:right="1728" w:gutter="0" w:header="0" w:top="1440" w:footer="720" w:bottom="1440"/>
          <w:pgNumType w:fmt="decimal"/>
          <w:formProt w:val="false"/>
          <w:titlePg/>
          <w:textDirection w:val="lrTb"/>
          <w:docGrid w:type="default" w:linePitch="360" w:charSpace="0"/>
        </w:sectPr>
        <w:pStyle w:val="Normal"/>
        <w:tabs>
          <w:tab w:val="clear" w:pos="720"/>
          <w:tab w:val="left" w:pos="0" w:leader="none"/>
          <w:tab w:val="left" w:pos="4680" w:leader="none"/>
        </w:tabs>
        <w:suppressAutoHyphens w:val="true"/>
        <w:ind w:start="3600" w:end="0"/>
        <w:jc w:val="both"/>
        <w:rPr>
          <w:spacing w:val="-3"/>
        </w:rPr>
      </w:pPr>
      <w:r>
        <w:rPr>
          <w:spacing w:val="-3"/>
        </w:rPr>
        <w:tab/>
        <w:t>(402) 398-7206</w:t>
      </w:r>
    </w:p>
    <w:p>
      <w:pPr>
        <w:pStyle w:val="Normal"/>
        <w:tabs>
          <w:tab w:val="clear" w:pos="720"/>
          <w:tab w:val="center" w:pos="4680" w:leader="none"/>
        </w:tabs>
        <w:suppressAutoHyphens w:val="true"/>
        <w:spacing w:lineRule="auto" w:line="480"/>
        <w:jc w:val="center"/>
        <w:rPr>
          <w:spacing w:val="-3"/>
        </w:rPr>
      </w:pPr>
      <w:r>
        <w:rPr>
          <w:spacing w:val="-3"/>
        </w:rPr>
      </w:r>
    </w:p>
    <w:p>
      <w:pPr>
        <w:pStyle w:val="Normal"/>
        <w:tabs>
          <w:tab w:val="clear" w:pos="720"/>
          <w:tab w:val="center" w:pos="4680" w:leader="none"/>
        </w:tabs>
        <w:suppressAutoHyphens w:val="true"/>
        <w:spacing w:lineRule="auto" w:line="480"/>
        <w:jc w:val="center"/>
        <w:rPr>
          <w:b/>
          <w:bCs/>
          <w:spacing w:val="-3"/>
        </w:rPr>
      </w:pPr>
      <w:r>
        <w:rPr>
          <w:b/>
          <w:bCs/>
          <w:spacing w:val="-3"/>
          <w:u w:val="single"/>
        </w:rPr>
        <w:t>CERTIFICATE OF SERVICE</w:t>
      </w:r>
    </w:p>
    <w:p>
      <w:pPr>
        <w:pStyle w:val="Normal"/>
        <w:tabs>
          <w:tab w:val="clear" w:pos="720"/>
          <w:tab w:val="left" w:pos="0" w:leader="none"/>
        </w:tabs>
        <w:suppressAutoHyphens w:val="true"/>
        <w:spacing w:lineRule="auto" w:line="480"/>
        <w:jc w:val="both"/>
        <w:rPr>
          <w:b/>
          <w:bCs/>
          <w:spacing w:val="-3"/>
        </w:rPr>
      </w:pPr>
      <w:r>
        <w:rPr>
          <w:b/>
          <w:bCs/>
          <w:spacing w:val="-3"/>
        </w:rPr>
      </w:r>
    </w:p>
    <w:p>
      <w:pPr>
        <w:pStyle w:val="Normal"/>
        <w:tabs>
          <w:tab w:val="clear" w:pos="720"/>
          <w:tab w:val="left" w:pos="0" w:leader="none"/>
        </w:tabs>
        <w:suppressAutoHyphens w:val="true"/>
        <w:spacing w:lineRule="auto" w:line="480"/>
        <w:jc w:val="both"/>
        <w:rPr>
          <w:spacing w:val="-3"/>
        </w:rPr>
      </w:pPr>
      <w:r>
        <w:rPr>
          <w:spacing w:val="-3"/>
        </w:rPr>
      </w:r>
    </w:p>
    <w:p>
      <w:pPr>
        <w:pStyle w:val="Normal"/>
        <w:tabs>
          <w:tab w:val="clear" w:pos="720"/>
          <w:tab w:val="left" w:pos="0" w:leader="none"/>
        </w:tabs>
        <w:suppressAutoHyphens w:val="true"/>
        <w:spacing w:lineRule="auto" w:line="480"/>
        <w:jc w:val="both"/>
        <w:rPr>
          <w:spacing w:val="-3"/>
        </w:rPr>
      </w:pPr>
      <w:r>
        <w:rPr>
          <w:spacing w:val="-3"/>
        </w:rPr>
        <w:tab/>
        <w:t>I hereby certify that I have this day served the foregoing document upon each person designated on the official service list compiled by the Docket Office in this proceeding.</w:t>
      </w:r>
    </w:p>
    <w:p>
      <w:pPr>
        <w:pStyle w:val="Normal"/>
        <w:tabs>
          <w:tab w:val="clear" w:pos="720"/>
          <w:tab w:val="left" w:pos="0" w:leader="none"/>
        </w:tabs>
        <w:suppressAutoHyphens w:val="true"/>
        <w:spacing w:lineRule="auto" w:line="480"/>
        <w:jc w:val="both"/>
        <w:rPr>
          <w:spacing w:val="-3"/>
        </w:rPr>
      </w:pPr>
      <w:r>
        <w:rPr>
          <w:spacing w:val="-3"/>
        </w:rPr>
        <w:tab/>
        <w:t>Dated this 18th day of October 2001.</w:t>
      </w:r>
    </w:p>
    <w:p>
      <w:pPr>
        <w:pStyle w:val="Normal"/>
        <w:tabs>
          <w:tab w:val="clear" w:pos="720"/>
          <w:tab w:val="left" w:pos="0" w:leader="none"/>
        </w:tabs>
        <w:suppressAutoHyphens w:val="true"/>
        <w:jc w:val="both"/>
        <w:rPr>
          <w:spacing w:val="-3"/>
        </w:rPr>
      </w:pPr>
      <w:r>
        <w:rPr>
          <w:spacing w:val="-3"/>
        </w:rPr>
        <w:tab/>
        <w:tab/>
        <w:tab/>
        <w:tab/>
      </w:r>
    </w:p>
    <w:p>
      <w:pPr>
        <w:pStyle w:val="Normal"/>
        <w:tabs>
          <w:tab w:val="clear" w:pos="720"/>
          <w:tab w:val="left" w:pos="0" w:leader="none"/>
        </w:tabs>
        <w:suppressAutoHyphens w:val="true"/>
        <w:jc w:val="both"/>
        <w:rPr>
          <w:spacing w:val="-3"/>
        </w:rPr>
      </w:pPr>
      <w:r>
        <w:rPr>
          <w:spacing w:val="-3"/>
        </w:rPr>
        <w:tab/>
        <w:tab/>
        <w:tab/>
        <w:tab/>
        <w:tab/>
        <w:tab/>
      </w:r>
      <w:r>
        <w:rPr>
          <w:spacing w:val="-3"/>
          <w:u w:val="single"/>
        </w:rPr>
        <w:tab/>
        <w:tab/>
        <w:tab/>
        <w:tab/>
        <w:tab/>
      </w:r>
    </w:p>
    <w:p>
      <w:pPr>
        <w:sectPr>
          <w:footerReference w:type="default" r:id="rId4"/>
          <w:footerReference w:type="first" r:id="rId5"/>
          <w:type w:val="nextPage"/>
          <w:pgSz w:w="12240" w:h="15840"/>
          <w:pgMar w:left="1728" w:right="1728" w:gutter="0" w:header="0" w:top="1440" w:footer="720" w:bottom="1440"/>
          <w:pgNumType w:fmt="decimal"/>
          <w:formProt w:val="false"/>
          <w:titlePg/>
          <w:textDirection w:val="lrTb"/>
          <w:docGrid w:type="default" w:linePitch="360" w:charSpace="0"/>
        </w:sectPr>
        <w:pStyle w:val="Normal"/>
        <w:tabs>
          <w:tab w:val="clear" w:pos="720"/>
          <w:tab w:val="left" w:pos="0" w:leader="none"/>
        </w:tabs>
        <w:suppressAutoHyphens w:val="true"/>
        <w:jc w:val="both"/>
        <w:rPr>
          <w:spacing w:val="-3"/>
        </w:rPr>
      </w:pPr>
      <w:r>
        <w:rPr>
          <w:spacing w:val="-3"/>
        </w:rPr>
        <w:tab/>
        <w:tab/>
        <w:tab/>
        <w:tab/>
        <w:tab/>
        <w:tab/>
        <w:tab/>
        <w:t>J. Gregory Porter</w:t>
      </w:r>
    </w:p>
    <w:p>
      <w:pPr>
        <w:pStyle w:val="Header"/>
        <w:tabs>
          <w:tab w:val="clear" w:pos="4320"/>
          <w:tab w:val="clear" w:pos="8640"/>
          <w:tab w:val="left" w:pos="720" w:leader="none"/>
          <w:tab w:val="left" w:pos="4680" w:leader="none"/>
        </w:tabs>
        <w:rPr>
          <w:spacing w:val="-3"/>
        </w:rPr>
      </w:pPr>
      <w:r>
        <w:rPr>
          <w:spacing w:val="-3"/>
        </w:rPr>
      </w:r>
    </w:p>
    <w:p>
      <w:pPr>
        <w:pStyle w:val="Header"/>
        <w:tabs>
          <w:tab w:val="clear" w:pos="4320"/>
          <w:tab w:val="clear" w:pos="8640"/>
          <w:tab w:val="left" w:pos="720" w:leader="none"/>
          <w:tab w:val="left" w:pos="4680" w:leader="none"/>
        </w:tabs>
        <w:rPr/>
      </w:pPr>
      <w:r>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Normal"/>
        <w:suppressAutoHyphens w:val="true"/>
        <w:jc w:val="both"/>
        <w:rPr>
          <w:bCs/>
          <w:spacing w:val="-3"/>
        </w:rPr>
      </w:pPr>
      <w:r>
        <w:rPr>
          <w:bCs/>
          <w:spacing w:val="-3"/>
        </w:rPr>
        <w:t>October 18, 2001</w:t>
      </w:r>
    </w:p>
    <w:p>
      <w:pPr>
        <w:pStyle w:val="Normal"/>
        <w:suppressAutoHyphens w:val="true"/>
        <w:jc w:val="both"/>
        <w:rPr>
          <w:bCs/>
          <w:spacing w:val="-3"/>
        </w:rPr>
      </w:pPr>
      <w:r>
        <w:rPr>
          <w:bCs/>
          <w:spacing w:val="-3"/>
        </w:rPr>
      </w:r>
    </w:p>
    <w:p>
      <w:pPr>
        <w:pStyle w:val="Normal"/>
        <w:suppressAutoHyphens w:val="true"/>
        <w:jc w:val="both"/>
        <w:rPr>
          <w:bCs/>
          <w:spacing w:val="-3"/>
        </w:rPr>
      </w:pPr>
      <w:r>
        <w:rPr>
          <w:bCs/>
          <w:spacing w:val="-3"/>
        </w:rPr>
      </w:r>
    </w:p>
    <w:p>
      <w:pPr>
        <w:pStyle w:val="Normal"/>
        <w:suppressAutoHyphens w:val="true"/>
        <w:jc w:val="both"/>
        <w:rPr>
          <w:spacing w:val="-3"/>
        </w:rPr>
      </w:pPr>
      <w:r>
        <w:rPr>
          <w:spacing w:val="-3"/>
        </w:rPr>
      </w:r>
    </w:p>
    <w:p>
      <w:pPr>
        <w:pStyle w:val="Normal"/>
        <w:rPr/>
      </w:pPr>
      <w:r>
        <w:rPr/>
        <w:t>Docket Office</w:t>
      </w:r>
    </w:p>
    <w:p>
      <w:pPr>
        <w:pStyle w:val="Normal"/>
        <w:rPr/>
      </w:pPr>
      <w:r>
        <w:rPr/>
        <w:t>California Public Utilities Commission</w:t>
      </w:r>
    </w:p>
    <w:p>
      <w:pPr>
        <w:pStyle w:val="Normal"/>
        <w:rPr/>
      </w:pPr>
      <w:r>
        <w:rPr/>
        <w:t>505 Van Ness Avenue</w:t>
      </w:r>
    </w:p>
    <w:p>
      <w:pPr>
        <w:pStyle w:val="Normal"/>
        <w:rPr/>
      </w:pPr>
      <w:r>
        <w:rPr/>
        <w:t>San Francisco  CA  94102-3298</w:t>
      </w:r>
    </w:p>
    <w:p>
      <w:pPr>
        <w:pStyle w:val="Normal"/>
        <w:rPr/>
      </w:pPr>
      <w:r>
        <w:rPr/>
      </w:r>
    </w:p>
    <w:p>
      <w:pPr>
        <w:pStyle w:val="BodyTextIndent2"/>
        <w:rPr>
          <w:spacing w:val="-3"/>
        </w:rPr>
      </w:pPr>
      <w:r>
        <w:rPr/>
        <w:tab/>
        <w:t>Re:</w:t>
        <w:tab/>
        <w:t>Revised Proposed Decision of Commissioner Bilas Regarding the Investigation on the Commission’s Own Motion in Southern California Gas Company and San Diego Gas and Electric Company, Docket I.99-07-003 (Filed July 8, 1999)</w:t>
      </w:r>
    </w:p>
    <w:p>
      <w:pPr>
        <w:pStyle w:val="Normal"/>
        <w:suppressAutoHyphens w:val="true"/>
        <w:jc w:val="both"/>
        <w:rPr>
          <w:spacing w:val="-3"/>
        </w:rPr>
      </w:pPr>
      <w:r>
        <w:rPr>
          <w:spacing w:val="-3"/>
        </w:rPr>
      </w:r>
    </w:p>
    <w:p>
      <w:pPr>
        <w:pStyle w:val="Normal"/>
        <w:suppressAutoHyphens w:val="true"/>
        <w:jc w:val="both"/>
        <w:rPr>
          <w:spacing w:val="-3"/>
        </w:rPr>
      </w:pPr>
      <w:r>
        <w:rPr>
          <w:spacing w:val="-3"/>
        </w:rPr>
        <w:t>Docket Office:</w:t>
      </w:r>
    </w:p>
    <w:p>
      <w:pPr>
        <w:pStyle w:val="Normal"/>
        <w:suppressAutoHyphens w:val="true"/>
        <w:jc w:val="both"/>
        <w:rPr>
          <w:spacing w:val="-3"/>
        </w:rPr>
      </w:pPr>
      <w:r>
        <w:rPr>
          <w:spacing w:val="-3"/>
        </w:rPr>
      </w:r>
    </w:p>
    <w:p>
      <w:pPr>
        <w:pStyle w:val="Normal"/>
        <w:suppressAutoHyphens w:val="true"/>
        <w:jc w:val="both"/>
        <w:rPr>
          <w:spacing w:val="-3"/>
        </w:rPr>
      </w:pPr>
      <w:r>
        <w:rPr>
          <w:spacing w:val="-3"/>
        </w:rPr>
        <w:tab/>
        <w:t xml:space="preserve">Attached for filing with the California Public Utilities Commission in the above-referenced docket is an original and four (4) copies.  </w:t>
      </w:r>
    </w:p>
    <w:p>
      <w:pPr>
        <w:pStyle w:val="Normal"/>
        <w:suppressAutoHyphens w:val="true"/>
        <w:jc w:val="both"/>
        <w:rPr>
          <w:spacing w:val="-3"/>
        </w:rPr>
      </w:pPr>
      <w:r>
        <w:rPr>
          <w:spacing w:val="-3"/>
        </w:rPr>
      </w:r>
    </w:p>
    <w:p>
      <w:pPr>
        <w:pStyle w:val="Normal"/>
        <w:suppressAutoHyphens w:val="true"/>
        <w:jc w:val="both"/>
        <w:rPr>
          <w:spacing w:val="-3"/>
        </w:rPr>
      </w:pPr>
      <w:r>
        <w:rPr>
          <w:spacing w:val="-3"/>
        </w:rPr>
        <w:tab/>
        <w:t>Thank you for your assistance in this matter.</w:t>
      </w:r>
    </w:p>
    <w:p>
      <w:pPr>
        <w:pStyle w:val="Normal"/>
        <w:suppressAutoHyphens w:val="true"/>
        <w:jc w:val="both"/>
        <w:rPr>
          <w:spacing w:val="-3"/>
        </w:rPr>
      </w:pPr>
      <w:r>
        <w:rPr>
          <w:spacing w:val="-3"/>
        </w:rPr>
      </w:r>
    </w:p>
    <w:p>
      <w:pPr>
        <w:pStyle w:val="Normal"/>
        <w:suppressAutoHyphens w:val="true"/>
        <w:jc w:val="both"/>
        <w:rPr>
          <w:spacing w:val="-3"/>
        </w:rPr>
      </w:pPr>
      <w:r>
        <w:rPr>
          <w:spacing w:val="-3"/>
        </w:rPr>
        <w:tab/>
        <w:tab/>
        <w:tab/>
        <w:tab/>
        <w:tab/>
        <w:tab/>
        <w:tab/>
        <w:t>Very truly yours,</w:t>
      </w:r>
    </w:p>
    <w:p>
      <w:pPr>
        <w:pStyle w:val="Normal"/>
        <w:suppressAutoHyphens w:val="true"/>
        <w:jc w:val="both"/>
        <w:rPr>
          <w:spacing w:val="-3"/>
        </w:rPr>
      </w:pPr>
      <w:r>
        <w:rPr>
          <w:spacing w:val="-3"/>
        </w:rPr>
      </w:r>
    </w:p>
    <w:p>
      <w:pPr>
        <w:pStyle w:val="Normal"/>
        <w:suppressAutoHyphens w:val="true"/>
        <w:jc w:val="both"/>
        <w:rPr>
          <w:spacing w:val="-3"/>
        </w:rPr>
      </w:pPr>
      <w:r>
        <w:rPr>
          <w:spacing w:val="-3"/>
        </w:rPr>
        <w:tab/>
      </w:r>
    </w:p>
    <w:p>
      <w:pPr>
        <w:pStyle w:val="Normal"/>
        <w:suppressAutoHyphens w:val="true"/>
        <w:jc w:val="both"/>
        <w:rPr>
          <w:spacing w:val="-3"/>
        </w:rPr>
      </w:pPr>
      <w:r>
        <w:rPr>
          <w:spacing w:val="-3"/>
        </w:rPr>
        <w:tab/>
        <w:tab/>
        <w:tab/>
        <w:tab/>
        <w:tab/>
        <w:tab/>
        <w:tab/>
        <w:t>J. Gregory Porter</w:t>
      </w:r>
    </w:p>
    <w:p>
      <w:pPr>
        <w:pStyle w:val="Normal"/>
        <w:suppressAutoHyphens w:val="true"/>
        <w:jc w:val="both"/>
        <w:rPr>
          <w:spacing w:val="-3"/>
        </w:rPr>
      </w:pPr>
      <w:r>
        <w:rPr>
          <w:spacing w:val="-3"/>
        </w:rPr>
      </w:r>
    </w:p>
    <w:p>
      <w:pPr>
        <w:pStyle w:val="Normal"/>
        <w:suppressAutoHyphens w:val="true"/>
        <w:jc w:val="both"/>
        <w:rPr>
          <w:spacing w:val="-3"/>
        </w:rPr>
      </w:pPr>
      <w:r>
        <w:rPr>
          <w:spacing w:val="-3"/>
        </w:rPr>
      </w:r>
    </w:p>
    <w:p>
      <w:pPr>
        <w:pStyle w:val="Header"/>
        <w:tabs>
          <w:tab w:val="clear" w:pos="4320"/>
          <w:tab w:val="clear" w:pos="8640"/>
          <w:tab w:val="left" w:pos="720" w:leader="none"/>
          <w:tab w:val="left" w:pos="4680" w:leader="none"/>
        </w:tabs>
        <w:rPr>
          <w:spacing w:val="-3"/>
        </w:rPr>
      </w:pPr>
      <w:r>
        <w:rPr>
          <w:spacing w:val="-3"/>
        </w:rPr>
      </w:r>
    </w:p>
    <w:sectPr>
      <w:footerReference w:type="default" r:id="rId6"/>
      <w:footerReference w:type="first" r:id="rId7"/>
      <w:type w:val="nextPage"/>
      <w:pgSz w:w="12240" w:h="15840"/>
      <w:pgMar w:left="1728" w:right="1728"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o:\cpucfiling</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6.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o:\cpucfiling</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o:\cpucfiling</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BodyTextIndent">
    <w:name w:val="Body Text Indent"/>
    <w:basedOn w:val="Normal"/>
    <w:pPr>
      <w:tabs>
        <w:tab w:val="left" w:pos="720" w:leader="none"/>
      </w:tabs>
      <w:ind w:hanging="144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720" w:leader="none"/>
      </w:tabs>
      <w:suppressAutoHyphens w:val="true"/>
      <w:ind w:hanging="1440" w:start="1440" w:end="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2001-10-18T18:25:00Z</dcterms:created>
  <dc:creator>Ann Smith</dc:creator>
  <dc:description/>
  <dc:language>en-CA</dc:language>
  <cp:lastModifiedBy>ghass</cp:lastModifiedBy>
  <cp:lastPrinted>2001-10-18T15:54:00Z</cp:lastPrinted>
  <dcterms:modified xsi:type="dcterms:W3CDTF">2001-10-18T18:25:00Z</dcterms:modified>
  <cp:revision>2</cp:revision>
  <dc:subject/>
  <dc:title>October 18, 2001</dc:title>
</cp:coreProperties>
</file>