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rPr/>
      </w:pPr>
      <w:r>
        <w:rPr/>
        <w:tab/>
      </w:r>
      <w:bookmarkStart w:id="0" w:name="QuickMark"/>
      <w:bookmarkEnd w:id="0"/>
      <w:r>
        <w:rPr>
          <w:b/>
          <w:i/>
          <w:sz w:val="30"/>
        </w:rPr>
        <w:t>M E M O R A N D U M</w:t>
      </w:r>
    </w:p>
    <w:p>
      <w:pPr>
        <w:pStyle w:val="Normal"/>
        <w:tabs>
          <w:tab w:val="clear" w:pos="720"/>
          <w:tab w:val="center" w:pos="4680" w:leader="none"/>
        </w:tabs>
        <w:jc w:val="center"/>
        <w:rPr>
          <w:b/>
          <w:i/>
          <w:i/>
        </w:rPr>
      </w:pPr>
      <w:r>
        <w:rPr>
          <w:b/>
          <w:i/>
        </w:rPr>
        <w:t>Confidential – Privileged Attorney-Client Communication</w:t>
      </w:r>
    </w:p>
    <w:p>
      <w:pPr>
        <w:pStyle w:val="Normal"/>
        <w:tabs>
          <w:tab w:val="clear" w:pos="720"/>
          <w:tab w:val="center" w:pos="4680" w:leader="none"/>
        </w:tabs>
        <w:jc w:val="center"/>
        <w:rPr>
          <w:b/>
          <w:i/>
          <w:i/>
        </w:rPr>
      </w:pPr>
      <w:r>
        <w:rPr>
          <w:b/>
          <w:i/>
        </w:rPr>
        <w:t>Attorney Work Product</w:t>
      </w:r>
    </w:p>
    <w:p>
      <w:pPr>
        <w:pStyle w:val="Normal"/>
        <w:tabs>
          <w:tab w:val="clear" w:pos="720"/>
          <w:tab w:val="center" w:pos="4680" w:leader="none"/>
        </w:tabs>
        <w:jc w:val="center"/>
        <w:rPr>
          <w:b/>
          <w:i/>
          <w:i/>
        </w:rPr>
      </w:pPr>
      <w:r>
        <w:rPr>
          <w:b/>
          <w:i/>
        </w:rPr>
      </w:r>
    </w:p>
    <w:p>
      <w:pPr>
        <w:pStyle w:val="Normal"/>
        <w:rPr/>
      </w:pPr>
      <w:r>
        <w:rPr/>
      </w:r>
    </w:p>
    <w:p>
      <w:pPr>
        <w:pStyle w:val="Normal"/>
        <w:spacing w:lineRule="exact" w:line="129"/>
        <w:rPr>
          <w:lang w:val="en-CA"/>
        </w:rPr>
      </w:pPr>
      <w:r>
        <w:rPr>
          <w:lang w:val="en-CA"/>
        </w:rPr>
        <mc:AlternateContent>
          <mc:Choice Requires="wps">
            <w:drawing>
              <wp:anchor behindDoc="1" distT="0" distB="0" distL="114935" distR="114935" simplePos="0" locked="0" layoutInCell="0" allowOverlap="1" relativeHeight="4">
                <wp:simplePos x="0" y="0"/>
                <wp:positionH relativeFrom="page">
                  <wp:posOffset>914400</wp:posOffset>
                </wp:positionH>
                <wp:positionV relativeFrom="paragraph">
                  <wp:posOffset>635</wp:posOffset>
                </wp:positionV>
                <wp:extent cx="5943600" cy="81915"/>
                <wp:effectExtent l="0" t="635" r="0" b="0"/>
                <wp:wrapNone/>
                <wp:docPr id="1" name=""/>
                <a:graphic xmlns:a="http://schemas.openxmlformats.org/drawingml/2006/main">
                  <a:graphicData uri="http://schemas.microsoft.com/office/word/2010/wordprocessingShape">
                    <wps:wsp>
                      <wps:cNvSpPr/>
                      <wps:spPr>
                        <a:xfrm>
                          <a:off x="0" y="0"/>
                          <a:ext cx="5943600" cy="8208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6.4pt;mso-wrap-style:none;v-text-anchor:middle;mso-position-horizontal-relative:page">
                <v:fill o:detectmouseclick="t" type="solid" color2="white"/>
                <v:stroke color="#3465a4" joinstyle="round" endcap="flat"/>
                <w10:wrap type="none"/>
              </v:rect>
            </w:pict>
          </mc:Fallback>
        </mc:AlternateContent>
      </w:r>
    </w:p>
    <w:p>
      <w:pPr>
        <w:pStyle w:val="Normal"/>
        <w:rPr/>
      </w:pPr>
      <w:r>
        <w:rPr/>
      </w:r>
    </w:p>
    <w:p>
      <w:pPr>
        <w:pStyle w:val="Normal"/>
        <w:tabs>
          <w:tab w:val="clear" w:pos="720"/>
          <w:tab w:val="left" w:pos="-1440" w:leader="none"/>
        </w:tabs>
        <w:ind w:hanging="1440" w:start="1440" w:end="0"/>
        <w:rPr>
          <w:b/>
        </w:rPr>
      </w:pPr>
      <w:r>
        <w:rPr>
          <w:b/>
        </w:rPr>
        <w:t>TO:</w:t>
        <w:tab/>
        <w:t>Dan Hyvl</w:t>
      </w:r>
    </w:p>
    <w:p>
      <w:pPr>
        <w:pStyle w:val="Normal"/>
        <w:tabs>
          <w:tab w:val="clear" w:pos="720"/>
          <w:tab w:val="left" w:pos="-1440" w:leader="none"/>
        </w:tabs>
        <w:ind w:hanging="1440" w:start="1440" w:end="0"/>
        <w:rPr>
          <w:b/>
        </w:rPr>
      </w:pPr>
      <w:r>
        <w:rPr>
          <w:b/>
        </w:rPr>
      </w:r>
    </w:p>
    <w:p>
      <w:pPr>
        <w:pStyle w:val="Normal"/>
        <w:tabs>
          <w:tab w:val="clear" w:pos="720"/>
          <w:tab w:val="left" w:pos="-1440" w:leader="none"/>
        </w:tabs>
        <w:ind w:hanging="1440" w:start="1440" w:end="0"/>
        <w:rPr>
          <w:b/>
        </w:rPr>
      </w:pPr>
      <w:r>
        <w:rPr>
          <w:b/>
        </w:rPr>
        <w:t>CC:</w:t>
        <w:tab/>
        <w:t>Jim Brown</w:t>
      </w:r>
    </w:p>
    <w:p>
      <w:pPr>
        <w:pStyle w:val="Normal"/>
        <w:tabs>
          <w:tab w:val="clear" w:pos="720"/>
          <w:tab w:val="left" w:pos="-1440" w:leader="none"/>
        </w:tabs>
        <w:ind w:hanging="1440" w:start="1440" w:end="0"/>
        <w:rPr>
          <w:b/>
        </w:rPr>
      </w:pPr>
      <w:r>
        <w:rPr>
          <w:b/>
        </w:rPr>
        <w:tab/>
        <w:t>Phil DeMoes</w:t>
      </w:r>
    </w:p>
    <w:p>
      <w:pPr>
        <w:pStyle w:val="Normal"/>
        <w:tabs>
          <w:tab w:val="clear" w:pos="720"/>
          <w:tab w:val="left" w:pos="-1440" w:leader="none"/>
        </w:tabs>
        <w:ind w:hanging="1440" w:start="1440" w:end="0"/>
        <w:rPr>
          <w:b/>
        </w:rPr>
      </w:pPr>
      <w:r>
        <w:rPr>
          <w:b/>
        </w:rPr>
      </w:r>
    </w:p>
    <w:p>
      <w:pPr>
        <w:pStyle w:val="Normal"/>
        <w:tabs>
          <w:tab w:val="clear" w:pos="720"/>
          <w:tab w:val="left" w:pos="-1440" w:leader="none"/>
        </w:tabs>
        <w:ind w:hanging="1440" w:start="1440" w:end="0"/>
        <w:rPr>
          <w:b/>
        </w:rPr>
      </w:pPr>
      <w:r>
        <w:rPr>
          <w:b/>
        </w:rPr>
        <w:t>FROM:</w:t>
        <w:tab/>
        <w:t>Barbara Donnelly</w:t>
      </w:r>
    </w:p>
    <w:p>
      <w:pPr>
        <w:pStyle w:val="Normal"/>
        <w:tabs>
          <w:tab w:val="clear" w:pos="720"/>
          <w:tab w:val="left" w:pos="-1440" w:leader="none"/>
        </w:tabs>
        <w:ind w:hanging="1440" w:start="1440" w:end="0"/>
        <w:rPr>
          <w:b/>
        </w:rPr>
      </w:pPr>
      <w:r>
        <w:rPr>
          <w:b/>
        </w:rPr>
        <w:tab/>
      </w:r>
    </w:p>
    <w:p>
      <w:pPr>
        <w:pStyle w:val="Normal"/>
        <w:tabs>
          <w:tab w:val="clear" w:pos="720"/>
          <w:tab w:val="left" w:pos="-1440" w:leader="none"/>
        </w:tabs>
        <w:ind w:hanging="1440" w:start="1440" w:end="0"/>
        <w:rPr>
          <w:b/>
        </w:rPr>
      </w:pPr>
      <w:r>
        <w:rPr>
          <w:b/>
        </w:rPr>
        <w:t>DATE:</w:t>
        <w:tab/>
        <w:t>May 18, 2001</w:t>
      </w:r>
    </w:p>
    <w:p>
      <w:pPr>
        <w:pStyle w:val="Normal"/>
        <w:rPr>
          <w:b/>
        </w:rPr>
      </w:pPr>
      <w:r>
        <w:rPr>
          <w:b/>
        </w:rPr>
      </w:r>
    </w:p>
    <w:p>
      <w:pPr>
        <w:pStyle w:val="Normal"/>
        <w:tabs>
          <w:tab w:val="clear" w:pos="720"/>
          <w:tab w:val="left" w:pos="-1440" w:leader="none"/>
        </w:tabs>
        <w:ind w:hanging="1440" w:start="1440" w:end="0"/>
        <w:rPr>
          <w:b/>
        </w:rPr>
      </w:pPr>
      <w:r>
        <w:rPr>
          <w:b/>
        </w:rPr>
        <w:t>RE:</w:t>
        <w:tab/>
        <w:t xml:space="preserve">Comments on GISB Agreement with Enron </w:t>
      </w:r>
    </w:p>
    <w:p>
      <w:pPr>
        <w:pStyle w:val="Normal"/>
        <w:rPr>
          <w:b/>
        </w:rPr>
      </w:pPr>
      <w:r>
        <w:rPr>
          <w:b/>
        </w:rPr>
      </w:r>
    </w:p>
    <w:p>
      <w:pPr>
        <w:pStyle w:val="Normal"/>
        <w:spacing w:lineRule="exact" w:line="129"/>
        <w:rPr>
          <w:b/>
          <w:lang w:val="en-CA"/>
        </w:rPr>
      </w:pPr>
      <w:r>
        <w:rPr>
          <w:b/>
          <w:lang w:val="en-CA"/>
        </w:rPr>
        <mc:AlternateContent>
          <mc:Choice Requires="wps">
            <w:drawing>
              <wp:anchor behindDoc="1" distT="0" distB="0" distL="114935" distR="114935" simplePos="0" locked="0" layoutInCell="0" allowOverlap="1" relativeHeight="5">
                <wp:simplePos x="0" y="0"/>
                <wp:positionH relativeFrom="page">
                  <wp:posOffset>914400</wp:posOffset>
                </wp:positionH>
                <wp:positionV relativeFrom="paragraph">
                  <wp:posOffset>635</wp:posOffset>
                </wp:positionV>
                <wp:extent cx="5943600" cy="81915"/>
                <wp:effectExtent l="0" t="635" r="0" b="0"/>
                <wp:wrapNone/>
                <wp:docPr id="2" name=""/>
                <a:graphic xmlns:a="http://schemas.openxmlformats.org/drawingml/2006/main">
                  <a:graphicData uri="http://schemas.microsoft.com/office/word/2010/wordprocessingShape">
                    <wps:wsp>
                      <wps:cNvSpPr/>
                      <wps:spPr>
                        <a:xfrm>
                          <a:off x="0" y="0"/>
                          <a:ext cx="5943600" cy="8208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6.4pt;mso-wrap-style:none;v-text-anchor:middle;mso-position-horizontal-relative:page">
                <v:fill o:detectmouseclick="t" type="solid" color2="white"/>
                <v:stroke color="#3465a4" joinstyle="round" endcap="flat"/>
                <w10:wrap type="none"/>
              </v:rect>
            </w:pict>
          </mc:Fallback>
        </mc:AlternateContent>
      </w:r>
    </w:p>
    <w:p>
      <w:pPr>
        <w:pStyle w:val="Normal"/>
        <w:rPr/>
      </w:pPr>
      <w:r>
        <w:rPr/>
      </w:r>
    </w:p>
    <w:p>
      <w:pPr>
        <w:pStyle w:val="Normal"/>
        <w:rPr/>
      </w:pPr>
      <w:r>
        <w:rPr/>
        <w:t xml:space="preserve">I have reviewed the GISB Agreement with Enron.   My proposed changes are noted below. </w:t>
      </w:r>
    </w:p>
    <w:p>
      <w:pPr>
        <w:pStyle w:val="Normal"/>
        <w:rPr/>
      </w:pPr>
      <w:r>
        <w:rPr/>
      </w:r>
    </w:p>
    <w:p>
      <w:pPr>
        <w:pStyle w:val="Heading3"/>
        <w:ind w:hanging="0" w:start="0"/>
        <w:rPr/>
      </w:pPr>
      <w:r>
        <w:rPr/>
        <w:t>GISB with Enron</w:t>
      </w:r>
      <w:r>
        <w:rPr>
          <w:b w:val="false"/>
          <w:u w:val="none"/>
        </w:rPr>
        <w:t xml:space="preserve"> </w:t>
      </w:r>
    </w:p>
    <w:p>
      <w:pPr>
        <w:pStyle w:val="Heading3"/>
        <w:ind w:hanging="0" w:start="0"/>
        <w:rPr>
          <w:b w:val="false"/>
          <w:u w:val="none"/>
        </w:rPr>
      </w:pPr>
      <w:r>
        <w:rPr>
          <w:b w:val="false"/>
          <w:u w:val="none"/>
        </w:rPr>
      </w:r>
    </w:p>
    <w:p>
      <w:pPr>
        <w:pStyle w:val="Normal"/>
        <w:numPr>
          <w:ilvl w:val="0"/>
          <w:numId w:val="6"/>
        </w:numPr>
        <w:rPr/>
      </w:pPr>
      <w:r>
        <w:rPr>
          <w:b/>
        </w:rPr>
        <w:t>Date of Contract</w:t>
      </w:r>
      <w:r>
        <w:rPr/>
        <w:t xml:space="preserve"> – The effective date of the contract should not be February 1, 2001.</w:t>
      </w:r>
    </w:p>
    <w:p>
      <w:pPr>
        <w:pStyle w:val="Normal"/>
        <w:rPr/>
      </w:pPr>
      <w:r>
        <w:rPr/>
      </w:r>
    </w:p>
    <w:p>
      <w:pPr>
        <w:pStyle w:val="Normal"/>
        <w:numPr>
          <w:ilvl w:val="0"/>
          <w:numId w:val="6"/>
        </w:numPr>
        <w:rPr/>
      </w:pPr>
      <w:r>
        <w:rPr>
          <w:b/>
        </w:rPr>
        <w:t>Confidentiality</w:t>
      </w:r>
      <w:r>
        <w:rPr/>
        <w:t xml:space="preserve"> – Add to Appendix “1” a Section 13.10 to provide:  </w:t>
      </w:r>
    </w:p>
    <w:p>
      <w:pPr>
        <w:pStyle w:val="Normal"/>
        <w:rPr>
          <w:b/>
        </w:rPr>
      </w:pPr>
      <w:r>
        <w:rPr>
          <w:b/>
        </w:rPr>
      </w:r>
    </w:p>
    <w:p>
      <w:pPr>
        <w:pStyle w:val="Normal"/>
        <w:ind w:start="720" w:end="0"/>
        <w:rPr/>
      </w:pPr>
      <w:r>
        <w:rPr/>
        <w:t>“</w:t>
      </w:r>
      <w:r>
        <w:rPr/>
        <w:t>Each party agrees that for a period of two (2) years after the termination of each transaction executed hereunder, it shall not disclose any specific information relating to the transaction, whether acquired before or after the effective date of this Contract, to any party other than each party’s (or the party’s affiliates or members), officers, directors, employees, advisors or representatives, who need to know and agree to maintain the confidentiality of the information.”</w:t>
      </w:r>
    </w:p>
    <w:p>
      <w:pPr>
        <w:pStyle w:val="Normal"/>
        <w:rPr/>
      </w:pPr>
      <w:r>
        <w:rPr/>
      </w:r>
    </w:p>
    <w:p>
      <w:pPr>
        <w:pStyle w:val="Normal"/>
        <w:numPr>
          <w:ilvl w:val="0"/>
          <w:numId w:val="6"/>
        </w:numPr>
        <w:rPr/>
      </w:pPr>
      <w:r>
        <w:rPr>
          <w:b/>
        </w:rPr>
        <w:t>Choice of Law</w:t>
      </w:r>
      <w:r>
        <w:rPr/>
        <w:t xml:space="preserve"> (Base Contract &amp; Section 13.5) – Change the choice of law to New York. </w:t>
      </w:r>
    </w:p>
    <w:p>
      <w:pPr>
        <w:pStyle w:val="Normal"/>
        <w:rPr/>
      </w:pPr>
      <w:r>
        <w:rPr/>
      </w:r>
    </w:p>
    <w:p>
      <w:pPr>
        <w:pStyle w:val="Normal"/>
        <w:numPr>
          <w:ilvl w:val="0"/>
          <w:numId w:val="4"/>
        </w:numPr>
        <w:rPr>
          <w:lang w:eastAsia="en-US"/>
        </w:rPr>
      </w:pPr>
      <w:r>
        <w:rPr>
          <w:b/>
        </w:rPr>
        <w:t>Force Majeure</w:t>
      </w:r>
      <w:r>
        <w:rPr/>
        <w:t xml:space="preserve"> (Appendix “1” Sections 11.1) – Delete Section 11.1 in its entirety and add to Appendix “1” the following new Section 11.1:</w:t>
      </w:r>
    </w:p>
    <w:p>
      <w:pPr>
        <w:pStyle w:val="Normal"/>
        <w:rPr>
          <w:lang w:eastAsia="en-US"/>
        </w:rPr>
      </w:pPr>
      <w:r>
        <w:rPr>
          <w:lang w:eastAsia="en-US"/>
        </w:rPr>
      </w:r>
    </w:p>
    <w:p>
      <w:pPr>
        <w:pStyle w:val="Normal"/>
        <w:ind w:start="720" w:end="0"/>
        <w:rPr/>
      </w:pPr>
      <w:r>
        <w:rPr/>
        <w:t>“</w:t>
      </w:r>
      <w:r>
        <w:rPr>
          <w:lang w:eastAsia="en-US"/>
        </w:rPr>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 event not anticipated as of the date hereof, which is not within the reasonable control of the Party (or in the case of third party obligations or facilities, the third party) claiming suspension, and which such Party (or third party) by the exercise of due diligence is unable to overcome, or which such Party (or third party) by the exercise of due diligence is unable to obtain or cause to be obtained a commercially reasonable substitute performance.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rPr>
          <w:lang w:eastAsia="en-US"/>
        </w:rPr>
      </w:pPr>
      <w:r>
        <w:rPr>
          <w:lang w:eastAsia="en-US"/>
        </w:rPr>
      </w:r>
    </w:p>
    <w:p>
      <w:pPr>
        <w:pStyle w:val="Normal"/>
        <w:numPr>
          <w:ilvl w:val="0"/>
          <w:numId w:val="3"/>
        </w:numPr>
        <w:rPr/>
      </w:pPr>
      <w:r>
        <w:rPr>
          <w:b/>
        </w:rPr>
        <w:t>Assignment</w:t>
      </w:r>
      <w:r>
        <w:rPr/>
        <w:t xml:space="preserve"> (Section 13.1)- Add after the last sentence of Section 13.1 the following:</w:t>
      </w:r>
    </w:p>
    <w:p>
      <w:pPr>
        <w:pStyle w:val="Normal"/>
        <w:rPr/>
      </w:pPr>
      <w:r>
        <w:rPr/>
      </w:r>
    </w:p>
    <w:p>
      <w:pPr>
        <w:pStyle w:val="BlockText"/>
        <w:rPr/>
      </w:pPr>
      <w:r>
        <w:rPr/>
        <w:t xml:space="preserve">"Notwithstanding any other provision of this Contract, a Party, without the other Party's consent may assign, transfer, mortgage or pledge its interest in this Contract as security for any obligation secured by any indenture, mortgage or similar lien on its system assets without limitation on the right of the secured party to further assign this Contract." </w:t>
      </w:r>
    </w:p>
    <w:p>
      <w:pPr>
        <w:pStyle w:val="BlockText"/>
        <w:ind w:start="0" w:end="720"/>
        <w:rPr/>
      </w:pPr>
      <w:r>
        <w:rPr/>
      </w:r>
    </w:p>
    <w:p>
      <w:pPr>
        <w:pStyle w:val="BlockText"/>
        <w:numPr>
          <w:ilvl w:val="0"/>
          <w:numId w:val="5"/>
        </w:numPr>
        <w:rPr/>
      </w:pPr>
      <w:r>
        <w:rPr>
          <w:b/>
        </w:rPr>
        <w:t>Arbitration</w:t>
      </w:r>
      <w:r>
        <w:rPr/>
        <w:t xml:space="preserve"> (Section 13.9) – Section 13.9 should be modified in the following manner: </w:t>
      </w:r>
    </w:p>
    <w:p>
      <w:pPr>
        <w:pStyle w:val="BlockText"/>
        <w:ind w:start="0" w:end="720"/>
        <w:rPr>
          <w:b/>
        </w:rPr>
      </w:pPr>
      <w:r>
        <w:rPr>
          <w:b/>
        </w:rPr>
      </w:r>
    </w:p>
    <w:p>
      <w:pPr>
        <w:pStyle w:val="BlockText"/>
        <w:numPr>
          <w:ilvl w:val="0"/>
          <w:numId w:val="2"/>
        </w:numPr>
        <w:rPr/>
      </w:pPr>
      <w:r>
        <w:rPr/>
        <w:t>Replace the reference to Texas law with “New York” law.</w:t>
      </w:r>
    </w:p>
    <w:p>
      <w:pPr>
        <w:pStyle w:val="BlockText"/>
        <w:numPr>
          <w:ilvl w:val="0"/>
          <w:numId w:val="2"/>
        </w:numPr>
        <w:rPr/>
      </w:pPr>
      <w:r>
        <w:rPr/>
        <w:t>Add “This arbitration provision shall survive termination of this Contract”</w:t>
      </w:r>
    </w:p>
    <w:p>
      <w:pPr>
        <w:pStyle w:val="BlockText"/>
        <w:numPr>
          <w:ilvl w:val="0"/>
          <w:numId w:val="2"/>
        </w:numPr>
        <w:rPr/>
      </w:pPr>
      <w:r>
        <w:rPr/>
        <w:t>Add “Judgment upon the award rendered by the arbitrators may be entered in any court having jurisdiction thereof.”</w:t>
      </w:r>
    </w:p>
    <w:p>
      <w:pPr>
        <w:pStyle w:val="BlockText"/>
        <w:numPr>
          <w:ilvl w:val="0"/>
          <w:numId w:val="2"/>
        </w:numPr>
        <w:rPr/>
      </w:pPr>
      <w:r>
        <w:rPr/>
        <w:t>Add in the first sentence after “self-administered arbitration” the words “in Atlanta, Georgia”.</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29"/>
      <w:rPr>
        <w:lang w:val="en-CA"/>
      </w:rPr>
    </w:pPr>
    <w:r>
      <w:rPr>
        <w:lang w:val="en-CA"/>
      </w:rPr>
      <mc:AlternateContent>
        <mc:Choice Requires="wps">
          <w:drawing>
            <wp:anchor behindDoc="1" distT="0" distB="0" distL="114935" distR="114935" simplePos="0" locked="0" layoutInCell="0" allowOverlap="1" relativeHeight="3">
              <wp:simplePos x="0" y="0"/>
              <wp:positionH relativeFrom="page">
                <wp:posOffset>914400</wp:posOffset>
              </wp:positionH>
              <wp:positionV relativeFrom="paragraph">
                <wp:posOffset>635</wp:posOffset>
              </wp:positionV>
              <wp:extent cx="5943600" cy="81915"/>
              <wp:effectExtent l="0" t="635" r="0" b="0"/>
              <wp:wrapNone/>
              <wp:docPr id="3" name=""/>
              <a:graphic xmlns:a="http://schemas.openxmlformats.org/drawingml/2006/main">
                <a:graphicData uri="http://schemas.microsoft.com/office/word/2010/wordprocessingShape">
                  <wps:wsp>
                    <wps:cNvSpPr/>
                    <wps:spPr>
                      <a:xfrm>
                        <a:off x="0" y="0"/>
                        <a:ext cx="5943600" cy="8208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6.4pt;mso-wrap-style:none;v-text-anchor:middle;mso-position-horizontal-relative:page">
              <v:fill o:detectmouseclick="t" type="solid" color2="white"/>
              <v:stroke color="#3465a4" joinstyle="round" endcap="flat"/>
              <w10:wrap type="none"/>
            </v:rect>
          </w:pict>
        </mc:Fallback>
      </mc:AlternateContent>
    </w:r>
  </w:p>
  <w:p>
    <w:pPr>
      <w:pStyle w:val="Normal"/>
      <w:tabs>
        <w:tab w:val="clear" w:pos="720"/>
        <w:tab w:val="center" w:pos="4680" w:leader="none"/>
      </w:tabs>
      <w:rPr/>
    </w:pPr>
    <w:r>
      <w:rPr>
        <w:rFonts w:cs="Arial" w:ascii="Arial" w:hAnsi="Arial"/>
        <w:b/>
        <w:i/>
        <w:sz w:val="20"/>
      </w:rPr>
      <w:tab/>
    </w:r>
    <w:r>
      <w:rPr>
        <w:b/>
        <w:i/>
        <w:sz w:val="20"/>
      </w:rPr>
      <w:t>Autry, Horton &amp; Cole, LLP, 2100 East Exchange Place, Suite 210, Atlanta, Georgia 30084-5313</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jc w:val="both"/>
      <w:outlineLvl w:val="1"/>
    </w:pPr>
    <w:rPr>
      <w:b/>
      <w:u w:val="single"/>
    </w:rPr>
  </w:style>
  <w:style w:type="paragraph" w:styleId="Heading3">
    <w:name w:val="heading 3"/>
    <w:basedOn w:val="Normal"/>
    <w:next w:val="Normal"/>
    <w:qFormat/>
    <w:pPr>
      <w:keepNext w:val="true"/>
      <w:numPr>
        <w:ilvl w:val="2"/>
        <w:numId w:val="1"/>
      </w:numPr>
      <w:outlineLvl w:val="2"/>
    </w:pPr>
    <w:rPr>
      <w:b/>
      <w:u w:val="single"/>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0" w:start="720" w:end="720"/>
    </w:pPr>
    <w:rPr>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2001-05-18T16:49:00Z</dcterms:created>
  <dc:creator>Dawn W Johnson</dc:creator>
  <dc:description/>
  <dc:language>en-CA</dc:language>
  <cp:lastModifiedBy>Autrey &amp; Horton, LLP</cp:lastModifiedBy>
  <cp:lastPrinted>2001-05-16T10:46:00Z</cp:lastPrinted>
  <dcterms:modified xsi:type="dcterms:W3CDTF">2001-05-18T16:49:00Z</dcterms:modified>
  <cp:revision>2</cp:revision>
  <dc:subject/>
  <dc:title/>
</cp:coreProperties>
</file>