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jc w:val="both"/>
        <w:rPr>
          <w:sz w:val="22"/>
        </w:rPr>
      </w:pPr>
      <w:r>
        <w:rPr>
          <w:sz w:val="22"/>
        </w:rPr>
        <w:t>Hypothetical Transaction</w:t>
      </w:r>
    </w:p>
    <w:p>
      <w:pPr>
        <w:pStyle w:val="Normal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numPr>
          <w:ilvl w:val="0"/>
          <w:numId w:val="2"/>
        </w:numPr>
        <w:jc w:val="both"/>
        <w:rPr>
          <w:sz w:val="22"/>
          <w:u w:val="single"/>
        </w:rPr>
      </w:pPr>
      <w:r>
        <w:rPr>
          <w:sz w:val="22"/>
        </w:rPr>
        <w:t>Enron enters into a forward contract (“Contract”) at T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for delivery of 12 million shares (“Shares”) of Enron Common Stock in two years T</w:t>
      </w:r>
      <w:r>
        <w:rPr>
          <w:sz w:val="22"/>
          <w:vertAlign w:val="subscript"/>
        </w:rPr>
        <w:t xml:space="preserve">2 </w:t>
      </w:r>
      <w:r>
        <w:rPr>
          <w:sz w:val="22"/>
        </w:rPr>
        <w:t>(“Delivery Date”)</w:t>
      </w:r>
      <w:r>
        <w:rPr>
          <w:sz w:val="22"/>
          <w:vertAlign w:val="subscript"/>
        </w:rPr>
        <w:t xml:space="preserve"> </w:t>
      </w:r>
      <w:r>
        <w:rPr>
          <w:sz w:val="22"/>
        </w:rPr>
        <w:t>with Company X.</w:t>
      </w:r>
    </w:p>
    <w:p>
      <w:pPr>
        <w:pStyle w:val="Normal"/>
        <w:numPr>
          <w:ilvl w:val="0"/>
          <w:numId w:val="2"/>
        </w:numPr>
        <w:jc w:val="both"/>
        <w:rPr>
          <w:sz w:val="22"/>
          <w:u w:val="single"/>
        </w:rPr>
      </w:pPr>
      <w:r>
        <w:rPr>
          <w:sz w:val="22"/>
        </w:rPr>
        <w:t>Upon delivery of the Shares in T</w:t>
      </w:r>
      <w:r>
        <w:rPr>
          <w:sz w:val="22"/>
          <w:vertAlign w:val="subscript"/>
        </w:rPr>
        <w:t xml:space="preserve">2 </w:t>
      </w:r>
      <w:r>
        <w:rPr>
          <w:sz w:val="22"/>
        </w:rPr>
        <w:t>the shares are restricted from resale (“Restricted Shares”) by Company X for an additional two years T</w:t>
      </w:r>
      <w:r>
        <w:rPr>
          <w:sz w:val="22"/>
          <w:vertAlign w:val="subscript"/>
        </w:rPr>
        <w:t>4.</w:t>
      </w:r>
    </w:p>
    <w:p>
      <w:pPr>
        <w:pStyle w:val="Normal"/>
        <w:numPr>
          <w:ilvl w:val="0"/>
          <w:numId w:val="2"/>
        </w:numPr>
        <w:jc w:val="both"/>
        <w:rPr>
          <w:sz w:val="22"/>
          <w:u w:val="single"/>
        </w:rPr>
      </w:pPr>
      <w:r>
        <w:rPr>
          <w:sz w:val="22"/>
        </w:rPr>
        <w:t>Enron’s closing price per share is quoted at $61.00 on the date of execution of the forward contract.</w:t>
      </w:r>
    </w:p>
    <w:p>
      <w:pPr>
        <w:pStyle w:val="Normal"/>
        <w:numPr>
          <w:ilvl w:val="0"/>
          <w:numId w:val="2"/>
        </w:numPr>
        <w:jc w:val="both"/>
        <w:rPr>
          <w:sz w:val="22"/>
          <w:u w:val="single"/>
        </w:rPr>
      </w:pPr>
      <w:r>
        <w:rPr>
          <w:sz w:val="22"/>
        </w:rPr>
        <w:t>Enron receives a note as consideration for the execution of the Contract with a stated interest rate of 7% per annum.</w:t>
      </w:r>
    </w:p>
    <w:p>
      <w:pPr>
        <w:pStyle w:val="Normal"/>
        <w:numPr>
          <w:ilvl w:val="0"/>
          <w:numId w:val="2"/>
        </w:numPr>
        <w:jc w:val="both"/>
        <w:rPr>
          <w:sz w:val="22"/>
          <w:u w:val="single"/>
        </w:rPr>
      </w:pPr>
      <w:r>
        <w:rPr>
          <w:sz w:val="22"/>
        </w:rPr>
        <w:t>Company X and Enron enter into a European option (costless collar) with an expiry at T</w:t>
      </w:r>
      <w:r>
        <w:rPr>
          <w:sz w:val="22"/>
          <w:vertAlign w:val="subscript"/>
        </w:rPr>
        <w:t>4</w:t>
      </w:r>
      <w:r>
        <w:rPr>
          <w:sz w:val="22"/>
        </w:rPr>
        <w:t>.  The collar has a put price equal to $61.00 and a call price equal to $90.00 (ie. Company X is protected below $61.00 and gives up value in excess of $90.00).</w:t>
      </w:r>
    </w:p>
    <w:p>
      <w:pPr>
        <w:pStyle w:val="Normal"/>
        <w:numPr>
          <w:ilvl w:val="0"/>
          <w:numId w:val="2"/>
        </w:numPr>
        <w:jc w:val="both"/>
        <w:rPr>
          <w:sz w:val="22"/>
          <w:u w:val="single"/>
        </w:rPr>
      </w:pPr>
      <w:r>
        <w:rPr>
          <w:sz w:val="22"/>
        </w:rPr>
        <w:t>Company X may not enter into any additional agreements with any counterparties that have the effect of selling or hedging the Shares or the Restricted Shares.</w:t>
      </w:r>
    </w:p>
    <w:p>
      <w:pPr>
        <w:pStyle w:val="Normal"/>
        <w:numPr>
          <w:ilvl w:val="0"/>
          <w:numId w:val="2"/>
        </w:numPr>
        <w:jc w:val="both"/>
        <w:rPr>
          <w:sz w:val="22"/>
          <w:u w:val="single"/>
        </w:rPr>
      </w:pPr>
      <w:r>
        <w:rPr>
          <w:sz w:val="22"/>
        </w:rPr>
        <w:t>Company X’s cost of funds are equal to 7.00%.</w:t>
      </w:r>
    </w:p>
    <w:p>
      <w:pPr>
        <w:pStyle w:val="Normal"/>
        <w:numPr>
          <w:ilvl w:val="0"/>
          <w:numId w:val="2"/>
        </w:numPr>
        <w:jc w:val="both"/>
        <w:rPr>
          <w:sz w:val="22"/>
          <w:u w:val="single"/>
        </w:rPr>
      </w:pPr>
      <w:r>
        <w:rPr>
          <w:sz w:val="22"/>
        </w:rPr>
        <w:t>The Shares are authorized, but not yet issued.</w:t>
      </w:r>
    </w:p>
    <w:p>
      <w:pPr>
        <w:pStyle w:val="Normal"/>
        <w:numPr>
          <w:ilvl w:val="0"/>
          <w:numId w:val="2"/>
        </w:numPr>
        <w:jc w:val="both"/>
        <w:rPr>
          <w:sz w:val="22"/>
          <w:u w:val="single"/>
        </w:rPr>
      </w:pPr>
      <w:r>
        <w:rPr>
          <w:sz w:val="22"/>
        </w:rPr>
        <w:t>Enron and Company X enter into a Registration Rights Agreement (“Agreement”) whereby Enron is required to file a Registration Statement with the Securities and Exchange Commission (“Commission”) upon delivery of the Shares for resale by Company X.</w:t>
      </w:r>
    </w:p>
    <w:p>
      <w:pPr>
        <w:pStyle w:val="Normal"/>
        <w:ind w:start="360" w:end="0"/>
        <w:jc w:val="both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ind w:start="360" w:end="0"/>
        <w:jc w:val="both"/>
        <w:rPr>
          <w:sz w:val="22"/>
        </w:rPr>
      </w:pPr>
      <w:r>
        <w:rPr>
          <w:sz w:val="22"/>
        </w:rPr>
        <w:t>Based on the scenario described above, Enron would conclude that the appropriate discount (restriction) to be applied to the Contract should be based on the following assumptions and methodology.</w:t>
      </w:r>
    </w:p>
    <w:p>
      <w:pPr>
        <w:pStyle w:val="Normal"/>
        <w:ind w:start="360" w:end="0"/>
        <w:jc w:val="both"/>
        <w:rPr>
          <w:sz w:val="22"/>
        </w:rPr>
      </w:pPr>
      <w:r>
        <w:rPr>
          <w:sz w:val="22"/>
        </w:rPr>
      </w:r>
    </w:p>
    <w:p>
      <w:pPr>
        <w:pStyle w:val="Heading2"/>
        <w:jc w:val="both"/>
        <w:rPr>
          <w:sz w:val="22"/>
        </w:rPr>
      </w:pPr>
      <w:r>
        <w:rPr>
          <w:sz w:val="22"/>
        </w:rPr>
        <w:t>Assumptions</w:t>
      </w:r>
    </w:p>
    <w:p>
      <w:pPr>
        <w:pStyle w:val="Normal"/>
        <w:ind w:start="360" w:end="0"/>
        <w:jc w:val="both"/>
        <w:rPr>
          <w:sz w:val="22"/>
        </w:rPr>
      </w:pPr>
      <w:r>
        <w:rPr>
          <w:sz w:val="22"/>
        </w:rPr>
        <w:t>Risk Free Rate (“RF”) = 6.0%</w:t>
      </w:r>
    </w:p>
    <w:p>
      <w:pPr>
        <w:pStyle w:val="Normal"/>
        <w:ind w:start="360" w:end="0"/>
        <w:jc w:val="both"/>
        <w:rPr/>
      </w:pPr>
      <w:r>
        <w:rPr>
          <w:sz w:val="22"/>
        </w:rPr>
        <w:t>Present Value (“PV”) (T</w:t>
      </w:r>
      <w:r>
        <w:rPr>
          <w:sz w:val="22"/>
          <w:vertAlign w:val="subscript"/>
        </w:rPr>
        <w:t>0</w:t>
      </w:r>
      <w:r>
        <w:rPr>
          <w:sz w:val="22"/>
        </w:rPr>
        <w:t>) of ENE Stock = $61.00/share</w:t>
      </w:r>
    </w:p>
    <w:p>
      <w:pPr>
        <w:pStyle w:val="Normal"/>
        <w:ind w:start="360" w:end="0"/>
        <w:jc w:val="both"/>
        <w:rPr/>
      </w:pPr>
      <w:r>
        <w:rPr>
          <w:sz w:val="22"/>
        </w:rPr>
        <w:t>Future Value (“FV”) (T</w:t>
      </w:r>
      <w:r>
        <w:rPr>
          <w:sz w:val="22"/>
          <w:vertAlign w:val="subscript"/>
        </w:rPr>
        <w:t>2</w:t>
      </w:r>
      <w:r>
        <w:rPr>
          <w:sz w:val="22"/>
        </w:rPr>
        <w:t>) of ENE Stock = $68.54/share [PV * (1+RF)</w:t>
      </w:r>
      <w:r>
        <w:rPr>
          <w:sz w:val="22"/>
          <w:vertAlign w:val="superscript"/>
        </w:rPr>
        <w:t xml:space="preserve">2 </w:t>
      </w:r>
      <w:r>
        <w:rPr>
          <w:sz w:val="22"/>
        </w:rPr>
        <w:t>]</w:t>
      </w:r>
    </w:p>
    <w:p>
      <w:pPr>
        <w:pStyle w:val="Normal"/>
        <w:ind w:start="360" w:end="0"/>
        <w:jc w:val="both"/>
        <w:rPr>
          <w:sz w:val="22"/>
        </w:rPr>
      </w:pPr>
      <w:r>
        <w:rPr>
          <w:sz w:val="22"/>
        </w:rPr>
        <w:t>American Option Premium (“AOP”) = 23%.</w:t>
      </w:r>
    </w:p>
    <w:p>
      <w:pPr>
        <w:pStyle w:val="Normal"/>
        <w:ind w:start="360" w:end="0"/>
        <w:jc w:val="both"/>
        <w:rPr>
          <w:sz w:val="22"/>
        </w:rPr>
      </w:pPr>
      <w:r>
        <w:rPr>
          <w:sz w:val="22"/>
        </w:rPr>
        <w:t>ENE Implied Volatility (“Vol”) = 40%</w:t>
      </w:r>
    </w:p>
    <w:p>
      <w:pPr>
        <w:pStyle w:val="Normal"/>
        <w:ind w:start="360" w:end="0"/>
        <w:jc w:val="both"/>
        <w:rPr>
          <w:sz w:val="22"/>
        </w:rPr>
      </w:pPr>
      <w:r>
        <w:rPr>
          <w:sz w:val="22"/>
        </w:rPr>
      </w:r>
    </w:p>
    <w:p>
      <w:pPr>
        <w:pStyle w:val="Heading2"/>
        <w:jc w:val="both"/>
        <w:rPr>
          <w:sz w:val="22"/>
        </w:rPr>
      </w:pPr>
      <w:r>
        <w:rPr>
          <w:sz w:val="22"/>
        </w:rPr>
        <w:t>Methodology</w:t>
      </w:r>
    </w:p>
    <w:p>
      <w:pPr>
        <w:pStyle w:val="BodyTextIndent"/>
        <w:jc w:val="both"/>
        <w:rPr/>
      </w:pPr>
      <w:r>
        <w:rPr>
          <w:sz w:val="22"/>
        </w:rPr>
        <w:t>Company X is entering into a two-year forward contract for delivery of shares that once delivered are restricted from sale for an additional two-year period.  The consideration paid by Company X to Enron will be a promissory note with a 7% annual interest rate.  Although Company X is price protected at the end of the restriction period through the costless collar, there is liquidity/event risk to Company X associated with the Restricted Shares.  Company X could enter into an American Option (“Option”) at T</w:t>
      </w:r>
      <w:r>
        <w:rPr>
          <w:sz w:val="22"/>
          <w:vertAlign w:val="subscript"/>
        </w:rPr>
        <w:t xml:space="preserve">0 </w:t>
      </w:r>
      <w:r>
        <w:rPr>
          <w:sz w:val="22"/>
        </w:rPr>
        <w:t>with a strike equal to the PV to hedge the liquidity risk associated with this restriction.  The cost of this Option is $14 or approximately 23% of the PV.  The value Company X is willing to pay for the Shares is $46.97 [PV*(1-AOP)] since it is taking on liquidity risk and is prohibited from mitigating this risk.</w:t>
      </w:r>
    </w:p>
    <w:p>
      <w:pPr>
        <w:pStyle w:val="BodyTextIndent"/>
        <w:jc w:val="both"/>
        <w:rPr>
          <w:sz w:val="22"/>
        </w:rPr>
      </w:pPr>
      <w:r>
        <w:rPr>
          <w:sz w:val="22"/>
        </w:rPr>
      </w:r>
    </w:p>
    <w:p>
      <w:pPr>
        <w:pStyle w:val="BodyTextIndent"/>
        <w:jc w:val="both"/>
        <w:rPr>
          <w:sz w:val="22"/>
        </w:rPr>
      </w:pPr>
      <w:r>
        <w:rPr>
          <w:sz w:val="22"/>
          <w:u w:val="single"/>
        </w:rPr>
        <w:t>Conclusion</w:t>
      </w:r>
    </w:p>
    <w:p>
      <w:pPr>
        <w:pStyle w:val="BodyTextIndent"/>
        <w:jc w:val="both"/>
        <w:rPr>
          <w:sz w:val="22"/>
        </w:rPr>
      </w:pPr>
      <w:r>
        <w:rPr>
          <w:sz w:val="22"/>
        </w:rPr>
        <w:t>The aforementioned methodology has been reviewed by Enron’s research department and we believe this methodology is appropriate.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360" w:end="0"/>
      <w:outlineLvl w:val="1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2001-03-29T20:18:00Z</dcterms:created>
  <dc:creator>rsiurek</dc:creator>
  <dc:description/>
  <dc:language>en-CA</dc:language>
  <cp:lastModifiedBy>rsiurek</cp:lastModifiedBy>
  <cp:lastPrinted>2001-03-29T18:07:00Z</cp:lastPrinted>
  <dcterms:modified xsi:type="dcterms:W3CDTF">2001-04-06T10:43:00Z</dcterms:modified>
  <cp:revision>18</cp:revision>
  <dc:subject/>
  <dc:title>Hypothetical Transaction</dc:title>
</cp:coreProperties>
</file>