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comments.xml" ContentType="application/vnd.openxmlformats-officedocument.wordprocessingml.comments+xml"/>
  <Override PartName="/word/footer2.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2"/>
          <w:lang w:val="en-CA"/>
        </w:rPr>
      </w:pPr>
      <w:r>
        <w:rPr>
          <w:sz w:val="22"/>
          <w:lang w:val="en-CA"/>
        </w:rPr>
        <w:drawing>
          <wp:anchor behindDoc="0" distT="0" distB="0" distL="114935" distR="114935" simplePos="0" locked="0" layoutInCell="1" allowOverlap="1" relativeHeight="10">
            <wp:simplePos x="0" y="0"/>
            <wp:positionH relativeFrom="column">
              <wp:posOffset>2533650</wp:posOffset>
            </wp:positionH>
            <wp:positionV relativeFrom="paragraph">
              <wp:posOffset>-190500</wp:posOffset>
            </wp:positionV>
            <wp:extent cx="914400" cy="476250"/>
            <wp:effectExtent l="0" t="0" r="0" b="0"/>
            <wp:wrapNone/>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654" t="-46" r="-654" b="-46"/>
                    <a:stretch>
                      <a:fillRect/>
                    </a:stretch>
                  </pic:blipFill>
                  <pic:spPr bwMode="auto">
                    <a:xfrm>
                      <a:off x="0" y="0"/>
                      <a:ext cx="914400" cy="476250"/>
                    </a:xfrm>
                    <a:prstGeom prst="rect">
                      <a:avLst/>
                    </a:prstGeom>
                    <a:noFill/>
                  </pic:spPr>
                </pic:pic>
              </a:graphicData>
            </a:graphic>
          </wp:anchor>
        </w:drawing>
      </w:r>
      <w:bookmarkStart w:id="0" w:name="QuickMark"/>
      <w:bookmarkStart w:id="1" w:name="QuickMark"/>
      <w:bookmarkEnd w:id="1"/>
    </w:p>
    <w:p>
      <w:pPr>
        <w:pStyle w:val="Normal"/>
        <w:rPr>
          <w:sz w:val="22"/>
        </w:rPr>
      </w:pPr>
      <w:r>
        <w:rPr>
          <w:sz w:val="22"/>
        </w:rPr>
      </w:r>
    </w:p>
    <w:p>
      <w:pPr>
        <w:pStyle w:val="Normal"/>
        <w:rPr>
          <w:sz w:val="22"/>
        </w:rPr>
      </w:pPr>
      <w:r>
        <w:rPr>
          <w:sz w:val="22"/>
        </w:rPr>
      </w:r>
    </w:p>
    <w:p>
      <w:pPr>
        <w:pStyle w:val="Normal"/>
        <w:spacing w:lineRule="exact" w:line="19"/>
        <w:ind w:firstLine="2160" w:end="0"/>
        <w:rPr>
          <w:sz w:val="22"/>
          <w:lang w:val="en-CA" w:eastAsia="en-CA"/>
        </w:rPr>
      </w:pPr>
      <w:r>
        <w:rPr>
          <w:sz w:val="22"/>
          <w:lang w:val="en-CA" w:eastAsia="en-CA"/>
        </w:rPr>
        <mc:AlternateContent>
          <mc:Choice Requires="wps">
            <w:drawing>
              <wp:anchor behindDoc="1" distT="0" distB="0" distL="114935" distR="114935" simplePos="0" locked="0" layoutInCell="0" allowOverlap="1" relativeHeight="9">
                <wp:simplePos x="0" y="0"/>
                <wp:positionH relativeFrom="page">
                  <wp:posOffset>914400</wp:posOffset>
                </wp:positionH>
                <wp:positionV relativeFrom="paragraph">
                  <wp:posOffset>635</wp:posOffset>
                </wp:positionV>
                <wp:extent cx="5943600" cy="12065"/>
                <wp:effectExtent l="0" t="635" r="0" b="0"/>
                <wp:wrapNone/>
                <wp:docPr id="2" name=""/>
                <a:graphic xmlns:a="http://schemas.openxmlformats.org/drawingml/2006/main">
                  <a:graphicData uri="http://schemas.microsoft.com/office/word/2010/wordprocessingShape">
                    <wps:wsp>
                      <wps:cNvSpPr/>
                      <wps:spPr>
                        <a:xfrm>
                          <a:off x="0" y="0"/>
                          <a:ext cx="5943600" cy="122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72pt;margin-top:0pt;width:467.95pt;height:0.9pt;mso-wrap-style:none;v-text-anchor:middle;mso-position-horizontal-relative:page">
                <v:fill o:detectmouseclick="t" type="solid" color2="white"/>
                <v:stroke color="#3465a4" joinstyle="round" endcap="flat"/>
                <w10:wrap type="none"/>
              </v:rect>
            </w:pict>
          </mc:Fallback>
        </mc:AlternateContent>
      </w:r>
    </w:p>
    <w:p>
      <w:pPr>
        <w:pStyle w:val="Normal"/>
        <w:rPr/>
      </w:pPr>
      <w:r>
        <w:rPr/>
      </w:r>
    </w:p>
    <w:p>
      <w:pPr>
        <w:pStyle w:val="Normal"/>
        <w:ind w:firstLine="2880" w:end="0"/>
        <w:rPr/>
      </w:pPr>
      <w:r>
        <w:rPr/>
      </w:r>
    </w:p>
    <w:p>
      <w:pPr>
        <w:pStyle w:val="Heading1"/>
        <w:ind w:hanging="0" w:start="0"/>
        <w:rPr/>
      </w:pPr>
      <w:r>
        <w:rPr/>
        <w:t>CONFIDENTIAL MEMORANDUM</w:t>
      </w:r>
    </w:p>
    <w:p>
      <w:pPr>
        <w:pStyle w:val="Normal"/>
        <w:rPr>
          <w:b/>
        </w:rPr>
      </w:pPr>
      <w:r>
        <w:rPr>
          <w:b/>
        </w:rPr>
      </w:r>
    </w:p>
    <w:p>
      <w:pPr>
        <w:pStyle w:val="Normal"/>
        <w:rPr>
          <w:b/>
        </w:rPr>
      </w:pPr>
      <w:r>
        <w:rPr>
          <w:b/>
        </w:rPr>
      </w:r>
    </w:p>
    <w:p>
      <w:pPr>
        <w:pStyle w:val="Normal"/>
        <w:tabs>
          <w:tab w:val="clear" w:pos="720"/>
          <w:tab w:val="left" w:pos="-1440" w:leader="none"/>
        </w:tabs>
        <w:ind w:hanging="1440" w:start="1440" w:end="0"/>
        <w:rPr>
          <w:b/>
        </w:rPr>
      </w:pPr>
      <w:r>
        <w:rPr>
          <w:b/>
        </w:rPr>
        <w:t>To:</w:t>
        <w:tab/>
        <w:tab/>
        <w:t>Mona Petrochko</w:t>
      </w:r>
    </w:p>
    <w:p>
      <w:pPr>
        <w:pStyle w:val="Normal"/>
        <w:tabs>
          <w:tab w:val="clear" w:pos="720"/>
          <w:tab w:val="left" w:pos="-1440" w:leader="none"/>
        </w:tabs>
        <w:ind w:hanging="1440" w:start="1440" w:end="0"/>
        <w:rPr>
          <w:b/>
        </w:rPr>
      </w:pPr>
      <w:r>
        <w:rPr>
          <w:b/>
        </w:rPr>
      </w:r>
    </w:p>
    <w:p>
      <w:pPr>
        <w:pStyle w:val="Normal"/>
        <w:rPr>
          <w:b/>
        </w:rPr>
      </w:pPr>
      <w:r>
        <w:rPr>
          <w:b/>
        </w:rPr>
        <w:t>From:</w:t>
        <w:tab/>
        <w:tab/>
        <w:t>Bob Weisenmiller</w:t>
      </w:r>
    </w:p>
    <w:p>
      <w:pPr>
        <w:pStyle w:val="Normal"/>
        <w:rPr>
          <w:b/>
        </w:rPr>
      </w:pPr>
      <w:r>
        <w:rPr>
          <w:b/>
        </w:rPr>
        <w:tab/>
        <w:tab/>
        <w:t>Derik Broekoff</w:t>
      </w:r>
    </w:p>
    <w:p>
      <w:pPr>
        <w:pStyle w:val="Normal"/>
        <w:rPr>
          <w:b/>
        </w:rPr>
      </w:pPr>
      <w:r>
        <w:rPr>
          <w:b/>
        </w:rPr>
        <w:tab/>
        <w:tab/>
        <w:t>Suzie Kito</w:t>
      </w:r>
    </w:p>
    <w:p>
      <w:pPr>
        <w:pStyle w:val="Normal"/>
        <w:ind w:firstLine="720" w:start="720" w:end="0"/>
        <w:rPr>
          <w:b/>
        </w:rPr>
      </w:pPr>
      <w:r>
        <w:rPr>
          <w:b/>
        </w:rPr>
        <w:t>MRW &amp; Associates, Inc.</w:t>
      </w:r>
    </w:p>
    <w:p>
      <w:pPr>
        <w:pStyle w:val="Normal"/>
        <w:rPr>
          <w:b/>
        </w:rPr>
      </w:pPr>
      <w:r>
        <w:rPr>
          <w:b/>
        </w:rPr>
      </w:r>
    </w:p>
    <w:p>
      <w:pPr>
        <w:pStyle w:val="Normal"/>
        <w:tabs>
          <w:tab w:val="clear" w:pos="720"/>
          <w:tab w:val="left" w:pos="-1440" w:leader="none"/>
        </w:tabs>
        <w:ind w:hanging="1440" w:start="1440" w:end="0"/>
        <w:rPr>
          <w:b/>
        </w:rPr>
      </w:pPr>
      <w:r>
        <w:rPr>
          <w:b/>
        </w:rPr>
        <w:t>Subject:</w:t>
        <w:tab/>
      </w:r>
      <w:bookmarkStart w:id="2" w:name="a4"/>
      <w:bookmarkEnd w:id="2"/>
      <w:r>
        <w:rPr>
          <w:b/>
        </w:rPr>
        <w:t>Preliminary Valuation of PG&amp;E’s Hydroelectric Assets</w:t>
      </w:r>
    </w:p>
    <w:p>
      <w:pPr>
        <w:pStyle w:val="Normal"/>
        <w:rPr>
          <w:b/>
        </w:rPr>
      </w:pPr>
      <w:r>
        <w:rPr>
          <w:b/>
        </w:rPr>
      </w:r>
    </w:p>
    <w:p>
      <w:pPr>
        <w:pStyle w:val="Normal"/>
        <w:pBdr>
          <w:bottom w:val="double" w:sz="6" w:space="1" w:color="000000"/>
        </w:pBdr>
        <w:tabs>
          <w:tab w:val="clear" w:pos="720"/>
          <w:tab w:val="left" w:pos="-1440" w:leader="none"/>
        </w:tabs>
        <w:ind w:hanging="1440" w:start="1440" w:end="0"/>
        <w:rPr>
          <w:b/>
        </w:rPr>
      </w:pPr>
      <w:r>
        <w:rPr>
          <w:b/>
        </w:rPr>
        <w:t>Date:</w:t>
        <w:tab/>
        <w:tab/>
      </w:r>
      <w:r>
        <w:rPr>
          <w:b/>
        </w:rPr>
        <w:fldChar w:fldCharType="begin"/>
      </w:r>
      <w:r>
        <w:rPr>
          <w:b/>
        </w:rPr>
        <w:instrText xml:space="preserve"> DATE \@"MMMM\ d', 'yyyy" </w:instrText>
      </w:r>
      <w:r>
        <w:rPr>
          <w:b/>
        </w:rPr>
        <w:fldChar w:fldCharType="separate"/>
      </w:r>
      <w:r>
        <w:rPr>
          <w:b/>
        </w:rPr>
        <w:t>September 28, 2025</w:t>
      </w:r>
      <w:r>
        <w:rPr>
          <w:b/>
        </w:rPr>
        <w:fldChar w:fldCharType="end"/>
      </w:r>
    </w:p>
    <w:p>
      <w:pPr>
        <w:pStyle w:val="Normal"/>
        <w:rPr>
          <w:b/>
        </w:rPr>
      </w:pPr>
      <w:r>
        <w:rPr>
          <w:b/>
        </w:rPr>
      </w:r>
    </w:p>
    <w:p>
      <w:pPr>
        <w:pStyle w:val="Heading4"/>
        <w:ind w:hanging="0" w:start="0"/>
        <w:rPr/>
      </w:pPr>
      <w:r>
        <w:rPr/>
        <w:t>I.</w:t>
        <w:tab/>
        <w:t>Introduction</w:t>
      </w:r>
    </w:p>
    <w:p>
      <w:pPr>
        <w:pStyle w:val="Normal"/>
        <w:rPr/>
      </w:pPr>
      <w:r>
        <w:rPr/>
      </w:r>
    </w:p>
    <w:p>
      <w:pPr>
        <w:pStyle w:val="Normal"/>
        <w:jc w:val="both"/>
        <w:rPr/>
      </w:pPr>
      <w:r>
        <w:rPr/>
        <w:t>This memorandum presents preliminary results of MRW’s efforts to value Pacific Gas &amp; Electric’s (PG&amp;E’s) hydroelectric assets in support of Enron’s efforts in the Annual Transition Cost Proceeding (ATCP) and in preparation for the advice letter to be submitted by PG&amp;E regarding its valuation of these assets.  In this memorandum, we discuss our approaches and present our preliminary results.</w:t>
      </w:r>
    </w:p>
    <w:p>
      <w:pPr>
        <w:pStyle w:val="Normal"/>
        <w:jc w:val="both"/>
        <w:rPr/>
      </w:pPr>
      <w:r>
        <w:rPr/>
      </w:r>
    </w:p>
    <w:p>
      <w:pPr>
        <w:pStyle w:val="Normal"/>
        <w:jc w:val="both"/>
        <w:rPr/>
      </w:pPr>
      <w:r>
        <w:rPr/>
        <w:t>MRW has used several approaches in an attempt to develop the market value of PG&amp;E’s hydroelectric assets.  These are discussed below.</w:t>
      </w:r>
    </w:p>
    <w:p>
      <w:pPr>
        <w:pStyle w:val="Normal"/>
        <w:jc w:val="both"/>
        <w:rPr/>
      </w:pPr>
      <w:r>
        <w:rPr/>
      </w:r>
    </w:p>
    <w:p>
      <w:pPr>
        <w:pStyle w:val="Heading4"/>
        <w:ind w:hanging="0" w:start="0"/>
        <w:rPr/>
      </w:pPr>
      <w:r>
        <w:rPr/>
        <w:t>II.</w:t>
        <w:tab/>
        <w:t>PG&amp;E’s Valuation Before the Legislature</w:t>
      </w:r>
    </w:p>
    <w:p>
      <w:pPr>
        <w:pStyle w:val="BodyText"/>
        <w:rPr/>
      </w:pPr>
      <w:r>
        <w:rPr/>
      </w:r>
    </w:p>
    <w:p>
      <w:pPr>
        <w:pStyle w:val="BodyText"/>
        <w:rPr/>
      </w:pPr>
      <w:r>
        <w:rPr/>
        <w:t xml:space="preserve">One method for valuing PG&amp;E’s hydroelectric assets is to use the value quoted by PG&amp;E before the legislature when spin-off was being considered, but adjusting this figure downwards for the hydroelectric contracts that are not being sold at this time.   PG&amp;E attempted to transfer ownership of its hydroelectric facilities and its hydroelectric contracts for a total of $3.3 billion.  It is MRW’s understanding that PG&amp;E never provided any support for its calculation.  However, Enron has indicated that PG&amp;E told CLECA/CMA that PG&amp;E had assumed $750/kW for the 3,800 MWs of PG&amp;E owned facilities and $400/kW for the 1,200 MW of contract generation.  This would result in a market valuation of $2.85 billion for PG&amp;E’s hydroelectric assets, excluding the contract generation (which is another $480 million for a total of about $3.33 billion). </w:t>
      </w:r>
    </w:p>
    <w:p>
      <w:pPr>
        <w:pStyle w:val="BodyText"/>
        <w:rPr/>
      </w:pPr>
      <w:r>
        <w:rPr/>
      </w:r>
    </w:p>
    <w:p>
      <w:pPr>
        <w:pStyle w:val="BodyText"/>
        <w:rPr/>
      </w:pPr>
      <w:r>
        <w:rPr/>
        <w:t>Similarly, the Association of California Water Agencies had developed an estimate that ranges from 3.14 billion to $4.34 billion for the PG&amp;E hydroelectric assets excluding contract generation.</w:t>
      </w:r>
      <w:r>
        <w:rPr>
          <w:rStyle w:val="FootnoteCharacters"/>
          <w:rStyle w:val="FootnoteReference"/>
          <w:vertAlign w:val="superscript"/>
        </w:rPr>
        <w:footnoteReference w:id="2"/>
      </w:r>
      <w:r>
        <w:rPr/>
        <w:t xml:space="preserve">  The ACWA analysis values PG&amp;E run of river and pondage hydroelectric assets by taking the net present value of revenues over a thirty year period, with a discount rate of 15%, assuming that the hydro assets receive a PX price of 2.4 cents/kWh (i.e., the 1998 PX price) and 3.8 cents/kWh (i.e., the replacement cost).  This results in a valuation ranging from $1.3 - $2.1 billion for the run of river assets and $700 million to $1.1 billion for the pondage assets.  Note that this analysis does not net out O&amp;M costs or capital additions, nor does it address inflation, taxes, or depreciation.  ACWA values PG&amp;E’s Helms pumped storage facility based upon a replacement cost of $950/kW or $1.14 billion.</w:t>
      </w:r>
    </w:p>
    <w:p>
      <w:pPr>
        <w:pStyle w:val="Heading4"/>
        <w:ind w:hanging="0" w:start="0"/>
        <w:rPr/>
      </w:pPr>
      <w:r>
        <w:rPr/>
      </w:r>
    </w:p>
    <w:p>
      <w:pPr>
        <w:pStyle w:val="Heading4"/>
        <w:ind w:hanging="0" w:start="0"/>
        <w:rPr/>
      </w:pPr>
      <w:r>
        <w:rPr/>
        <w:t>III.</w:t>
        <w:tab/>
        <w:t>SCE’s Valuation of its Hydroelectric Assets</w:t>
      </w:r>
    </w:p>
    <w:p>
      <w:pPr>
        <w:pStyle w:val="BodyText"/>
        <w:rPr/>
      </w:pPr>
      <w:r>
        <w:rPr/>
      </w:r>
    </w:p>
    <w:p>
      <w:pPr>
        <w:pStyle w:val="BodyText"/>
        <w:rPr/>
      </w:pPr>
      <w:r>
        <w:rPr/>
        <w:t>Another method for valuing PG&amp;E’s hydroelectric assets is to use the value established by Southern California Edison (SCE) for its hydroelectric assets in $/kW as a proxy for the value of PG&amp;E’s hydroelectric assets, but adjusting this figure upward to take into account the more strategic nature of PG&amp;E’s hydro assets and particularly PG&amp;E’s Helms pumped storage facility.  SCE’s Memorandum of Understanding (MOU) values SCE’s hydroelectric assets at $993 million, for 1,156 MW of hydroelectric capacity, which results in a value of $859/kW.</w:t>
      </w:r>
      <w:r>
        <w:rPr>
          <w:rStyle w:val="FootnoteCharacters"/>
          <w:rStyle w:val="FootnoteReference"/>
          <w:vertAlign w:val="superscript"/>
        </w:rPr>
        <w:footnoteReference w:id="3"/>
      </w:r>
      <w:r>
        <w:rPr>
          <w:vertAlign w:val="superscript"/>
        </w:rPr>
        <w:t xml:space="preserve">  </w:t>
      </w:r>
      <w:r>
        <w:rPr/>
        <w:t xml:space="preserve">Applying this to PG&amp;E’s proposal to auction off 3,890 MW of its hydroelectric assets would result in a valuation of $3.342 billion.  </w:t>
      </w:r>
    </w:p>
    <w:p>
      <w:pPr>
        <w:pStyle w:val="BodyText"/>
        <w:rPr/>
      </w:pPr>
      <w:r>
        <w:rPr/>
      </w:r>
    </w:p>
    <w:p>
      <w:pPr>
        <w:pStyle w:val="BodyText"/>
        <w:rPr/>
      </w:pPr>
      <w:r>
        <w:rPr/>
        <w:t>In its testimony in PG&amp;E's hydro divestiture application, ORA states that SCE has proposed "a relatively conservative value for its hydroelectric facilities, so that there is little chance that it will not be able to recover its costs, and by having a multi-year balancing account to offset the unlikely instance of a loss [in a] particular year."</w:t>
      </w:r>
      <w:r>
        <w:rPr>
          <w:rStyle w:val="FootnoteCharacters"/>
          <w:rStyle w:val="FootnoteReference"/>
          <w:vertAlign w:val="superscript"/>
        </w:rPr>
        <w:footnoteReference w:id="4"/>
      </w:r>
      <w:r>
        <w:rPr/>
        <w:t xml:space="preserve">  In light of the fact that ORA views this valuation as conservative, and that SCE does not have large pumped storage assets such as Helms, we adjust SCE's conservative figure upward to account for these facts.  MRW assumes an upward adjustment of $250/MW for the Helms assets.  This is roughly based upon the net present value (using an after tax discount rate of 11.74%, see discussion below, over a 30-year period) of one half of the after-tax net revenues that Helms generated between July 1, 1998 and June 30, 1999, escalated at 2.5%. Helms earned $81.2 million during this period; we use 50% of the after-tax amount because we expect ancillary services and RMR revenues to decrease in the future and we are not attempting to capture the energy profits which are already built into the $859/kW figure. This results in a total valuation of $3.642 billion, with $2.311 billion for PG&amp;E’s conventional hydroelectric assets ($859/kW x 2,690 MW) and $1.331 billion for Helms ($1109/kW x 1,200 MW).   </w:t>
      </w:r>
    </w:p>
    <w:p>
      <w:pPr>
        <w:pStyle w:val="BodyText"/>
        <w:rPr/>
      </w:pPr>
      <w:r>
        <w:rPr/>
      </w:r>
    </w:p>
    <w:p>
      <w:pPr>
        <w:pStyle w:val="Heading4"/>
        <w:numPr>
          <w:ilvl w:val="0"/>
          <w:numId w:val="2"/>
        </w:numPr>
        <w:rPr/>
      </w:pPr>
      <w:r>
        <w:rPr/>
        <w:t>Net Present Value of Future Revenue Streams</w:t>
      </w:r>
    </w:p>
    <w:p>
      <w:pPr>
        <w:pStyle w:val="Normal"/>
        <w:rPr/>
      </w:pPr>
      <w:r>
        <w:rPr/>
      </w:r>
    </w:p>
    <w:p>
      <w:pPr>
        <w:pStyle w:val="Normal"/>
        <w:jc w:val="both"/>
        <w:rPr/>
      </w:pPr>
      <w:r>
        <w:rPr/>
        <w:t>Our initial net present value estimation of PG&amp;E’s hydroelectric assets followed the methodology used by SCE in its own recent hydroelectric valuation.</w:t>
      </w:r>
      <w:r>
        <w:rPr>
          <w:rStyle w:val="FootnoteCharacters"/>
          <w:rStyle w:val="FootnoteReference"/>
          <w:vertAlign w:val="superscript"/>
        </w:rPr>
        <w:footnoteReference w:id="5"/>
      </w:r>
      <w:r>
        <w:rPr/>
        <w:t xml:space="preserve">  We used PG&amp;E’s FERC filings for 1996 through 1998 to obtain data on O&amp;M costs and net generation for each of PG&amp;E’s facilities.  We then totaled the results to obtain system-wide cost and generation estimates.  We verified the results of this “bottom up” approach using estimates from other sources, including PG&amp;E’s most recent General Rate Case (GRC).  Total O&amp;M costs for these years matched GRC projections and FERC account totals fairly closely.  Net generation, however, was 10 percent above average due to high precipitation in 1996 and 1998.</w:t>
      </w:r>
      <w:r>
        <w:rPr>
          <w:rStyle w:val="FootnoteCharacters"/>
          <w:rStyle w:val="FootnoteReference"/>
          <w:vertAlign w:val="superscript"/>
        </w:rPr>
        <w:footnoteReference w:id="6"/>
      </w:r>
      <w:r>
        <w:rPr/>
        <w:t xml:space="preserve">  The following analysis was applied to all of PG&amp;E’s hydro plants except Helms, which was considered separately, because it is a net user of electricity and it is difficult to value Helms without considering ancillary services. To be conservative, we did not incorporate potential ancillary service revenues into this analysis.  To value Helms for this preliminary assessment, we assumed that Helms receives a valuation similar to the other PG&amp;E assets.  This is conservative given that Helms is likely to be more valuable than PG&amp;E’s other hydro assets on a going-forward basis.</w:t>
      </w:r>
    </w:p>
    <w:p>
      <w:pPr>
        <w:pStyle w:val="Normal"/>
        <w:rPr/>
      </w:pPr>
      <w:r>
        <w:rPr/>
      </w:r>
    </w:p>
    <w:p>
      <w:pPr>
        <w:pStyle w:val="Heading2"/>
        <w:numPr>
          <w:ilvl w:val="0"/>
          <w:numId w:val="3"/>
        </w:numPr>
        <w:ind w:hanging="0" w:start="0"/>
        <w:rPr/>
      </w:pPr>
      <w:r>
        <w:rPr/>
        <w:t>Going-Forward Costs</w:t>
      </w:r>
    </w:p>
    <w:p>
      <w:pPr>
        <w:pStyle w:val="Normal"/>
        <w:rPr/>
      </w:pPr>
      <w:r>
        <w:rPr/>
      </w:r>
    </w:p>
    <w:p>
      <w:pPr>
        <w:pStyle w:val="BodyText"/>
        <w:rPr/>
      </w:pPr>
      <w:r>
        <w:rPr/>
        <w:t xml:space="preserve">Because the costs of hydro facilities are not likely to vary greatly with generation levels, we used the average O&amp;M costs of each facility between 1996 and 1998 in our model.  These totaled to $63 million in year 2000 dollars.  </w:t>
      </w:r>
    </w:p>
    <w:p>
      <w:pPr>
        <w:pStyle w:val="Footer"/>
        <w:tabs>
          <w:tab w:val="clear" w:pos="4320"/>
          <w:tab w:val="clear" w:pos="8640"/>
        </w:tabs>
        <w:rPr/>
      </w:pPr>
      <w:r>
        <w:rPr/>
      </w:r>
    </w:p>
    <w:p>
      <w:pPr>
        <w:pStyle w:val="Normal"/>
        <w:jc w:val="both"/>
        <w:rPr/>
      </w:pPr>
      <w:r>
        <w:rPr/>
        <w:t>For capital costs, SCE assumed that it would spend $15 million per year, in accordance with its “MOU capital allowance.”</w:t>
      </w:r>
      <w:r>
        <w:rPr>
          <w:rStyle w:val="FootnoteCharacters"/>
          <w:rStyle w:val="FootnoteReference"/>
          <w:vertAlign w:val="superscript"/>
        </w:rPr>
        <w:footnoteReference w:id="7"/>
      </w:r>
      <w:r>
        <w:rPr>
          <w:vertAlign w:val="superscript"/>
        </w:rPr>
        <w:t xml:space="preserve"> </w:t>
      </w:r>
      <w:r>
        <w:rPr/>
        <w:t xml:space="preserve"> For PG&amp;E, we simply divided this expenditure by SCE’s total hydro capacity (1,156 MW), and then applied this ratio to PG&amp;E’s hydro capacity—excluding Helms—of 2,684 MW.  The result is an expenditure of $35 million per year on capital costs (year 2000 dollars). This may be a conservative assumption given that PG&amp;E’s O&amp;M costs are only two thirds of SCE’s on a per-MW basis. </w:t>
      </w:r>
      <w:r>
        <w:rPr>
          <w:rStyle w:val="CommentReference"/>
          <w:vanish w:val="false"/>
        </w:rPr>
        <w:commentReference w:id="0"/>
      </w:r>
    </w:p>
    <w:p>
      <w:pPr>
        <w:pStyle w:val="Normal"/>
        <w:jc w:val="both"/>
        <w:rPr/>
      </w:pPr>
      <w:r>
        <w:rPr/>
      </w:r>
    </w:p>
    <w:p>
      <w:pPr>
        <w:pStyle w:val="BodyText"/>
        <w:rPr/>
      </w:pPr>
      <w:r>
        <w:rPr/>
        <w:t>In our pro forma model, all costs were escalated at an assumed inflation rate of 2.5 percent.</w:t>
      </w:r>
      <w:r>
        <w:rPr>
          <w:rStyle w:val="FootnoteCharacters"/>
          <w:rStyle w:val="FootnoteReference"/>
          <w:vertAlign w:val="superscript"/>
        </w:rPr>
        <w:footnoteReference w:id="8"/>
      </w:r>
      <w:r>
        <w:rPr/>
        <w:t xml:space="preserve">  SCE subtracted from this a productivity factor (“X-factor”) of 1.6 percent, which was adopted by the California Public Utilities Commission in SCE’s last ratemaking proceeding.  We incorporated this productivity factor in our analysis. </w:t>
      </w:r>
    </w:p>
    <w:p>
      <w:pPr>
        <w:pStyle w:val="Normal"/>
        <w:rPr/>
      </w:pPr>
      <w:r>
        <w:rPr/>
      </w:r>
    </w:p>
    <w:p>
      <w:pPr>
        <w:pStyle w:val="Heading1"/>
        <w:ind w:hanging="0" w:start="0"/>
        <w:rPr/>
      </w:pPr>
      <w:r>
        <w:rPr/>
        <w:t>Table 1.  PG&amp;E Hydroelectric System Cost Assumptions</w:t>
      </w:r>
    </w:p>
    <w:p>
      <w:pPr>
        <w:pStyle w:val="Footer"/>
        <w:tabs>
          <w:tab w:val="clear" w:pos="4320"/>
          <w:tab w:val="clear" w:pos="8640"/>
        </w:tabs>
        <w:rPr/>
      </w:pPr>
      <w:r>
        <w:rPr/>
      </w:r>
    </w:p>
    <w:tbl>
      <w:tblPr>
        <w:tblW w:w="8856" w:type="dxa"/>
        <w:jc w:val="start"/>
        <w:tblInd w:w="0" w:type="dxa"/>
        <w:tblLayout w:type="fixed"/>
        <w:tblCellMar>
          <w:top w:w="0" w:type="dxa"/>
          <w:start w:w="108" w:type="dxa"/>
          <w:bottom w:w="0" w:type="dxa"/>
          <w:end w:w="108" w:type="dxa"/>
        </w:tblCellMar>
      </w:tblPr>
      <w:tblGrid>
        <w:gridCol w:w="3348"/>
        <w:gridCol w:w="1800"/>
        <w:gridCol w:w="3708"/>
      </w:tblGrid>
      <w:tr>
        <w:trPr/>
        <w:tc>
          <w:tcPr>
            <w:tcW w:w="3348"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p>
            <w:pPr>
              <w:pStyle w:val="Normal"/>
              <w:jc w:val="center"/>
              <w:rPr>
                <w:b/>
              </w:rPr>
            </w:pPr>
            <w:r>
              <w:rPr>
                <w:b/>
              </w:rPr>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Value</w:t>
            </w:r>
          </w:p>
          <w:p>
            <w:pPr>
              <w:pStyle w:val="FootnoteText"/>
              <w:jc w:val="center"/>
              <w:rPr>
                <w:b/>
                <w:sz w:val="24"/>
              </w:rPr>
            </w:pPr>
            <w:r>
              <w:rPr>
                <w:b/>
                <w:sz w:val="24"/>
              </w:rPr>
              <w:t>(Year 2000$)</w:t>
            </w:r>
          </w:p>
        </w:tc>
        <w:tc>
          <w:tcPr>
            <w:tcW w:w="3708"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sz w:val="24"/>
              </w:rPr>
            </w:pPr>
            <w:r>
              <w:rPr>
                <w:b/>
                <w:sz w:val="24"/>
              </w:rPr>
            </w:r>
          </w:p>
          <w:p>
            <w:pPr>
              <w:pStyle w:val="Normal"/>
              <w:jc w:val="center"/>
              <w:rPr>
                <w:b/>
              </w:rPr>
            </w:pPr>
            <w:r>
              <w:rPr>
                <w:b/>
              </w:rPr>
              <w:t>Source</w:t>
            </w:r>
          </w:p>
        </w:tc>
      </w:tr>
      <w:tr>
        <w:trPr/>
        <w:tc>
          <w:tcPr>
            <w:tcW w:w="3348" w:type="dxa"/>
            <w:tcBorders>
              <w:top w:val="single" w:sz="4" w:space="0" w:color="000000"/>
              <w:start w:val="single" w:sz="4" w:space="0" w:color="000000"/>
              <w:bottom w:val="single" w:sz="4" w:space="0" w:color="000000"/>
              <w:end w:val="single" w:sz="4" w:space="0" w:color="000000"/>
            </w:tcBorders>
          </w:tcPr>
          <w:p>
            <w:pPr>
              <w:pStyle w:val="Normal"/>
              <w:rPr/>
            </w:pPr>
            <w:r>
              <w:rPr/>
              <w:t>O&amp;M Costs</w:t>
            </w:r>
          </w:p>
        </w:tc>
        <w:tc>
          <w:tcPr>
            <w:tcW w:w="1800" w:type="dxa"/>
            <w:tcBorders>
              <w:top w:val="single" w:sz="4" w:space="0" w:color="000000"/>
              <w:start w:val="single" w:sz="4" w:space="0" w:color="000000"/>
              <w:bottom w:val="single" w:sz="4" w:space="0" w:color="000000"/>
              <w:end w:val="single" w:sz="4" w:space="0" w:color="000000"/>
            </w:tcBorders>
          </w:tcPr>
          <w:p>
            <w:pPr>
              <w:pStyle w:val="Normal"/>
              <w:rPr/>
            </w:pPr>
            <w:r>
              <w:rPr/>
              <w:t xml:space="preserve">$63 million </w:t>
            </w:r>
          </w:p>
          <w:p>
            <w:pPr>
              <w:pStyle w:val="FootnoteText"/>
              <w:rPr/>
            </w:pPr>
            <w:r>
              <w:rPr/>
            </w:r>
          </w:p>
        </w:tc>
        <w:tc>
          <w:tcPr>
            <w:tcW w:w="3708" w:type="dxa"/>
            <w:tcBorders>
              <w:top w:val="single" w:sz="4" w:space="0" w:color="000000"/>
              <w:start w:val="single" w:sz="4" w:space="0" w:color="000000"/>
              <w:bottom w:val="single" w:sz="4" w:space="0" w:color="000000"/>
              <w:end w:val="single" w:sz="4" w:space="0" w:color="000000"/>
            </w:tcBorders>
          </w:tcPr>
          <w:p>
            <w:pPr>
              <w:pStyle w:val="Footer"/>
              <w:tabs>
                <w:tab w:val="clear" w:pos="4320"/>
                <w:tab w:val="clear" w:pos="8640"/>
              </w:tabs>
              <w:jc w:val="center"/>
              <w:rPr/>
            </w:pPr>
            <w:r>
              <w:rPr/>
              <w:t>Average of costs reported in 1996-98 FERC filings</w:t>
            </w:r>
          </w:p>
        </w:tc>
      </w:tr>
      <w:tr>
        <w:trPr/>
        <w:tc>
          <w:tcPr>
            <w:tcW w:w="3348" w:type="dxa"/>
            <w:tcBorders>
              <w:top w:val="single" w:sz="4" w:space="0" w:color="000000"/>
              <w:start w:val="single" w:sz="4" w:space="0" w:color="000000"/>
              <w:bottom w:val="single" w:sz="4" w:space="0" w:color="000000"/>
              <w:end w:val="single" w:sz="4" w:space="0" w:color="000000"/>
            </w:tcBorders>
          </w:tcPr>
          <w:p>
            <w:pPr>
              <w:pStyle w:val="Normal"/>
              <w:rPr/>
            </w:pPr>
            <w:r>
              <w:rPr/>
              <w:t>Capital Costs</w:t>
            </w:r>
          </w:p>
        </w:tc>
        <w:tc>
          <w:tcPr>
            <w:tcW w:w="1800" w:type="dxa"/>
            <w:tcBorders>
              <w:top w:val="single" w:sz="4" w:space="0" w:color="000000"/>
              <w:start w:val="single" w:sz="4" w:space="0" w:color="000000"/>
              <w:bottom w:val="single" w:sz="4" w:space="0" w:color="000000"/>
              <w:end w:val="single" w:sz="4" w:space="0" w:color="000000"/>
            </w:tcBorders>
          </w:tcPr>
          <w:p>
            <w:pPr>
              <w:pStyle w:val="Normal"/>
              <w:rPr/>
            </w:pPr>
            <w:r>
              <w:rPr/>
              <w:t>$35 million</w:t>
            </w:r>
          </w:p>
        </w:tc>
        <w:tc>
          <w:tcPr>
            <w:tcW w:w="3708" w:type="dxa"/>
            <w:tcBorders>
              <w:top w:val="single" w:sz="4" w:space="0" w:color="000000"/>
              <w:start w:val="single" w:sz="4" w:space="0" w:color="000000"/>
              <w:bottom w:val="single" w:sz="4" w:space="0" w:color="000000"/>
              <w:end w:val="single" w:sz="4" w:space="0" w:color="000000"/>
            </w:tcBorders>
          </w:tcPr>
          <w:p>
            <w:pPr>
              <w:pStyle w:val="Normal"/>
              <w:jc w:val="center"/>
              <w:rPr/>
            </w:pPr>
            <w:r>
              <w:rPr/>
              <w:t>SCE $/MW ratio</w:t>
            </w:r>
          </w:p>
        </w:tc>
      </w:tr>
    </w:tbl>
    <w:p>
      <w:pPr>
        <w:pStyle w:val="Normal"/>
        <w:rPr/>
      </w:pPr>
      <w:r>
        <w:rPr/>
      </w:r>
    </w:p>
    <w:p>
      <w:pPr>
        <w:pStyle w:val="Heading2"/>
        <w:numPr>
          <w:ilvl w:val="0"/>
          <w:numId w:val="3"/>
        </w:numPr>
        <w:ind w:hanging="0" w:start="0"/>
        <w:rPr/>
      </w:pPr>
      <w:r>
        <w:rPr/>
        <w:t>Revenues</w:t>
      </w:r>
    </w:p>
    <w:p>
      <w:pPr>
        <w:pStyle w:val="Normal"/>
        <w:rPr/>
      </w:pPr>
      <w:r>
        <w:rPr/>
      </w:r>
    </w:p>
    <w:p>
      <w:pPr>
        <w:pStyle w:val="Normal"/>
        <w:jc w:val="both"/>
        <w:rPr/>
      </w:pPr>
      <w:r>
        <w:rPr/>
        <w:t>Future revenues are determined by annual generation and power prices.  We used PG&amp;E’s “average year” net generation, reported in its 1994 Electricity Report filings for our base case.</w:t>
      </w:r>
      <w:r>
        <w:rPr>
          <w:rStyle w:val="FootnoteCharacters"/>
          <w:rStyle w:val="FootnoteReference"/>
          <w:vertAlign w:val="superscript"/>
        </w:rPr>
        <w:footnoteReference w:id="9"/>
      </w:r>
      <w:r>
        <w:rPr/>
        <w:t xml:space="preserve">  We also obtained net generation for “wet” and “dry” year generation from this source. Table 2 summarizes these assumptions.</w:t>
      </w:r>
      <w:r>
        <w:rPr>
          <w:rStyle w:val="FootnoteCharacters"/>
          <w:rStyle w:val="FootnoteReference"/>
          <w:vertAlign w:val="superscript"/>
        </w:rPr>
        <w:footnoteReference w:id="10"/>
      </w:r>
    </w:p>
    <w:p>
      <w:pPr>
        <w:pStyle w:val="Normal"/>
        <w:rPr/>
      </w:pPr>
      <w:r>
        <w:rPr/>
      </w:r>
    </w:p>
    <w:p>
      <w:pPr>
        <w:pStyle w:val="Heading1"/>
        <w:ind w:hanging="0" w:start="0"/>
        <w:rPr/>
      </w:pPr>
      <w:r>
        <w:rPr/>
        <w:t>Table 2.  PG&amp;E Hydroelectric Generation Estimates</w:t>
      </w:r>
    </w:p>
    <w:p>
      <w:pPr>
        <w:pStyle w:val="Normal"/>
        <w:rPr/>
      </w:pPr>
      <w:r>
        <w:rPr/>
      </w:r>
    </w:p>
    <w:tbl>
      <w:tblPr>
        <w:tblW w:w="8856" w:type="dxa"/>
        <w:jc w:val="start"/>
        <w:tblInd w:w="0" w:type="dxa"/>
        <w:tblLayout w:type="fixed"/>
        <w:tblCellMar>
          <w:top w:w="0" w:type="dxa"/>
          <w:start w:w="108" w:type="dxa"/>
          <w:bottom w:w="0" w:type="dxa"/>
          <w:end w:w="108" w:type="dxa"/>
        </w:tblCellMar>
      </w:tblPr>
      <w:tblGrid>
        <w:gridCol w:w="3348"/>
        <w:gridCol w:w="1800"/>
        <w:gridCol w:w="3708"/>
      </w:tblGrid>
      <w:tr>
        <w:trPr/>
        <w:tc>
          <w:tcPr>
            <w:tcW w:w="3348"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p>
            <w:pPr>
              <w:pStyle w:val="Normal"/>
              <w:jc w:val="center"/>
              <w:rPr>
                <w:b/>
              </w:rPr>
            </w:pPr>
            <w:r>
              <w:rPr>
                <w:b/>
              </w:rPr>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Value</w:t>
            </w:r>
          </w:p>
          <w:p>
            <w:pPr>
              <w:pStyle w:val="Normal"/>
              <w:jc w:val="center"/>
              <w:rPr>
                <w:b/>
              </w:rPr>
            </w:pPr>
            <w:r>
              <w:rPr>
                <w:b/>
              </w:rPr>
              <w:t>(MWh)</w:t>
            </w:r>
          </w:p>
        </w:tc>
        <w:tc>
          <w:tcPr>
            <w:tcW w:w="3708"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p>
            <w:pPr>
              <w:pStyle w:val="Normal"/>
              <w:jc w:val="center"/>
              <w:rPr>
                <w:b/>
              </w:rPr>
            </w:pPr>
            <w:r>
              <w:rPr>
                <w:b/>
              </w:rPr>
              <w:t>Source</w:t>
            </w:r>
          </w:p>
        </w:tc>
      </w:tr>
      <w:tr>
        <w:trPr/>
        <w:tc>
          <w:tcPr>
            <w:tcW w:w="3348" w:type="dxa"/>
            <w:tcBorders>
              <w:top w:val="single" w:sz="4" w:space="0" w:color="000000"/>
              <w:start w:val="single" w:sz="4" w:space="0" w:color="000000"/>
              <w:bottom w:val="single" w:sz="4" w:space="0" w:color="000000"/>
              <w:end w:val="single" w:sz="4" w:space="0" w:color="000000"/>
            </w:tcBorders>
          </w:tcPr>
          <w:p>
            <w:pPr>
              <w:pStyle w:val="Normal"/>
              <w:rPr/>
            </w:pPr>
            <w:r>
              <w:rPr/>
              <w:t>“</w:t>
            </w:r>
            <w:r>
              <w:rPr/>
              <w:t>Average Year” Net Generation</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end"/>
              <w:rPr/>
            </w:pPr>
            <w:r>
              <w:rPr/>
              <w:t>12,728</w:t>
            </w:r>
          </w:p>
        </w:tc>
        <w:tc>
          <w:tcPr>
            <w:tcW w:w="3708" w:type="dxa"/>
            <w:tcBorders>
              <w:top w:val="single" w:sz="4" w:space="0" w:color="000000"/>
              <w:start w:val="single" w:sz="4" w:space="0" w:color="000000"/>
              <w:bottom w:val="single" w:sz="4" w:space="0" w:color="000000"/>
              <w:end w:val="single" w:sz="4" w:space="0" w:color="000000"/>
            </w:tcBorders>
          </w:tcPr>
          <w:p>
            <w:pPr>
              <w:pStyle w:val="Normal"/>
              <w:jc w:val="center"/>
              <w:rPr/>
            </w:pPr>
            <w:r>
              <w:rPr/>
              <w:t>PG&amp;E ER 94</w:t>
            </w:r>
          </w:p>
        </w:tc>
      </w:tr>
      <w:tr>
        <w:trPr/>
        <w:tc>
          <w:tcPr>
            <w:tcW w:w="3348" w:type="dxa"/>
            <w:tcBorders>
              <w:top w:val="single" w:sz="4" w:space="0" w:color="000000"/>
              <w:start w:val="single" w:sz="4" w:space="0" w:color="000000"/>
              <w:bottom w:val="single" w:sz="4" w:space="0" w:color="000000"/>
              <w:end w:val="single" w:sz="4" w:space="0" w:color="000000"/>
            </w:tcBorders>
          </w:tcPr>
          <w:p>
            <w:pPr>
              <w:pStyle w:val="Normal"/>
              <w:rPr/>
            </w:pPr>
            <w:r>
              <w:rPr/>
              <w:t>“</w:t>
            </w:r>
            <w:r>
              <w:rPr/>
              <w:t>Dry Year” Net Generation</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end"/>
              <w:rPr/>
            </w:pPr>
            <w:r>
              <w:rPr/>
              <w:t>7,934</w:t>
            </w:r>
          </w:p>
        </w:tc>
        <w:tc>
          <w:tcPr>
            <w:tcW w:w="3708" w:type="dxa"/>
            <w:tcBorders>
              <w:top w:val="single" w:sz="4" w:space="0" w:color="000000"/>
              <w:start w:val="single" w:sz="4" w:space="0" w:color="000000"/>
              <w:bottom w:val="single" w:sz="4" w:space="0" w:color="000000"/>
              <w:end w:val="single" w:sz="4" w:space="0" w:color="000000"/>
            </w:tcBorders>
          </w:tcPr>
          <w:p>
            <w:pPr>
              <w:pStyle w:val="Normal"/>
              <w:jc w:val="center"/>
              <w:rPr/>
            </w:pPr>
            <w:r>
              <w:rPr/>
              <w:t>PG&amp;E ER 94</w:t>
            </w:r>
          </w:p>
        </w:tc>
      </w:tr>
      <w:tr>
        <w:trPr/>
        <w:tc>
          <w:tcPr>
            <w:tcW w:w="3348" w:type="dxa"/>
            <w:tcBorders>
              <w:top w:val="single" w:sz="4" w:space="0" w:color="000000"/>
              <w:start w:val="single" w:sz="4" w:space="0" w:color="000000"/>
              <w:bottom w:val="single" w:sz="4" w:space="0" w:color="000000"/>
              <w:end w:val="single" w:sz="4" w:space="0" w:color="000000"/>
            </w:tcBorders>
          </w:tcPr>
          <w:p>
            <w:pPr>
              <w:pStyle w:val="Normal"/>
              <w:rPr/>
            </w:pPr>
            <w:r>
              <w:rPr/>
              <w:t>“</w:t>
            </w:r>
            <w:r>
              <w:rPr/>
              <w:t>Wet Year” Net Generation</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end"/>
              <w:rPr/>
            </w:pPr>
            <w:r>
              <w:rPr/>
              <w:t>15,451</w:t>
            </w:r>
          </w:p>
        </w:tc>
        <w:tc>
          <w:tcPr>
            <w:tcW w:w="3708" w:type="dxa"/>
            <w:tcBorders>
              <w:top w:val="single" w:sz="4" w:space="0" w:color="000000"/>
              <w:start w:val="single" w:sz="4" w:space="0" w:color="000000"/>
              <w:bottom w:val="single" w:sz="4" w:space="0" w:color="000000"/>
              <w:end w:val="single" w:sz="4" w:space="0" w:color="000000"/>
            </w:tcBorders>
          </w:tcPr>
          <w:p>
            <w:pPr>
              <w:pStyle w:val="Normal"/>
              <w:jc w:val="center"/>
              <w:rPr/>
            </w:pPr>
            <w:r>
              <w:rPr/>
              <w:t>PG&amp;E ER 94</w:t>
            </w:r>
          </w:p>
        </w:tc>
      </w:tr>
    </w:tbl>
    <w:p>
      <w:pPr>
        <w:pStyle w:val="Normal"/>
        <w:rPr/>
      </w:pPr>
      <w:r>
        <w:rPr/>
      </w:r>
    </w:p>
    <w:p>
      <w:pPr>
        <w:pStyle w:val="Normal"/>
        <w:jc w:val="both"/>
        <w:rPr/>
      </w:pPr>
      <w:r>
        <w:rPr/>
        <w:t>Following SCE’s approach, we calculated market revenues by using the California Energy Commission’s price projections for 2000 and 2001,</w:t>
      </w:r>
      <w:r>
        <w:rPr>
          <w:rStyle w:val="FootnoteCharacters"/>
          <w:vertAlign w:val="superscript"/>
        </w:rPr>
        <w:t xml:space="preserve"> </w:t>
      </w:r>
      <w:r>
        <w:rPr>
          <w:rStyle w:val="FootnoteCharacters"/>
          <w:rStyle w:val="FootnoteReference"/>
          <w:vertAlign w:val="superscript"/>
        </w:rPr>
        <w:footnoteReference w:id="11"/>
      </w:r>
      <w:r>
        <w:rPr/>
        <w:t xml:space="preserve"> which were $28.45/MWh and $31.01/MWh respectively, and then escalated these prices at a constant rate for subsequent years.  SCE examined sensitivities involving escalation rates of 2.5 percent, 3.5 percent and 4.5 percent,</w:t>
      </w:r>
      <w:r>
        <w:rPr>
          <w:rStyle w:val="FootnoteCharacters"/>
          <w:rStyle w:val="FootnoteReference"/>
          <w:vertAlign w:val="superscript"/>
        </w:rPr>
        <w:footnoteReference w:id="12"/>
      </w:r>
      <w:r>
        <w:rPr/>
        <w:t xml:space="preserve"> which we used in our analysis as well.  </w:t>
      </w:r>
    </w:p>
    <w:p>
      <w:pPr>
        <w:pStyle w:val="Footer"/>
        <w:tabs>
          <w:tab w:val="clear" w:pos="4320"/>
          <w:tab w:val="clear" w:pos="8640"/>
        </w:tabs>
        <w:rPr/>
      </w:pPr>
      <w:r>
        <w:rPr/>
      </w:r>
    </w:p>
    <w:p>
      <w:pPr>
        <w:pStyle w:val="BodyText"/>
        <w:rPr/>
      </w:pPr>
      <w:r>
        <w:rPr/>
        <w:t>As an additional sensitivity, we examined the results of using two other price projections.  Although SCE indicated that it based its projections on CEC estimates, the average prices used in its analysis are slightly lower than the values for 2000 and 2001 cited above, possibly due to on-peak and off-peak weighting.  (Note that in all cases, using SCE’s escalation sensitivities for 2002 and beyond results in higher values than the CEC’s projections for those years).  For one sensitivity, therefore, we used the slightly lower power prices used by SCE in its model.  As a second sensitivity, we used a 21 year price forecasts derived from Henwood curves (and escalated thereafter).</w:t>
      </w:r>
    </w:p>
    <w:p>
      <w:pPr>
        <w:pStyle w:val="BodyText"/>
        <w:rPr/>
      </w:pPr>
      <w:r>
        <w:rPr/>
      </w:r>
    </w:p>
    <w:p>
      <w:pPr>
        <w:pStyle w:val="BodyText"/>
        <w:rPr/>
      </w:pPr>
      <w:r>
        <w:rPr/>
        <w:t xml:space="preserve">We estimated total revenues by multiplying net generation times the assumed average market rate for electricity.  This is a simplifying assumption, since in reality hydro generation does not occur evenly throughout the year, nor does it receive the average price. </w:t>
      </w:r>
    </w:p>
    <w:p>
      <w:pPr>
        <w:pStyle w:val="BodyText"/>
        <w:rPr/>
      </w:pPr>
      <w:r>
        <w:rPr/>
        <w:t xml:space="preserve"> </w:t>
      </w:r>
    </w:p>
    <w:p>
      <w:pPr>
        <w:pStyle w:val="Heading2"/>
        <w:numPr>
          <w:ilvl w:val="0"/>
          <w:numId w:val="3"/>
        </w:numPr>
        <w:ind w:hanging="0" w:start="0"/>
        <w:rPr/>
      </w:pPr>
      <w:r>
        <w:rPr/>
        <w:t>Taxes and Depreciation</w:t>
      </w:r>
    </w:p>
    <w:p>
      <w:pPr>
        <w:pStyle w:val="Normal"/>
        <w:rPr/>
      </w:pPr>
      <w:r>
        <w:rPr/>
      </w:r>
    </w:p>
    <w:p>
      <w:pPr>
        <w:pStyle w:val="BodyText"/>
        <w:rPr>
          <w:b/>
        </w:rPr>
      </w:pPr>
      <w:r>
        <w:rPr/>
        <w:t>In order to determine net revenues, we first subtracted taxes, using a 40 percent rate applied to revenues less going-forward costs less depreciation.  We used the same accelerated depreciation schedule used by SCE and published in their workpapers.  This schedule depreciates assets over 20 years.  The same schedule was applied both to the “purchase price” of PG&amp;E’s existing assets (equal to the NPV of after-tax cash flows) and to going-forward capital additions.  An iterative calculation was used to ensure that the tax benefit of depreciation was consistent with the net present value of after-tax cash flows.</w:t>
      </w:r>
    </w:p>
    <w:p>
      <w:pPr>
        <w:pStyle w:val="Normal"/>
        <w:rPr>
          <w:b/>
        </w:rPr>
      </w:pPr>
      <w:r>
        <w:rPr>
          <w:b/>
        </w:rPr>
      </w:r>
    </w:p>
    <w:p>
      <w:pPr>
        <w:pStyle w:val="Heading2"/>
        <w:numPr>
          <w:ilvl w:val="0"/>
          <w:numId w:val="3"/>
        </w:numPr>
        <w:ind w:hanging="0" w:start="0"/>
        <w:rPr/>
      </w:pPr>
      <w:r>
        <w:rPr/>
        <w:t>Total Valuation</w:t>
      </w:r>
    </w:p>
    <w:p>
      <w:pPr>
        <w:pStyle w:val="Normal"/>
        <w:rPr/>
      </w:pPr>
      <w:r>
        <w:rPr/>
      </w:r>
    </w:p>
    <w:p>
      <w:pPr>
        <w:pStyle w:val="BodyText"/>
        <w:rPr/>
      </w:pPr>
      <w:r>
        <w:rPr/>
        <w:t>We estimated the total value of PG&amp;E’s hydroelectric assets by calculating the present value of the net revenues (revenues minus costs, minus taxes) over 40 years.  For our base case, we used a discount rate of 11.74 percent, based upon the discount rate used by SCE in its hydro valuation application, which combines SCE’s current cost of debt (7.64%) and the return on equity required by wholesale electric generators (15.60%), and assumes 35% debt and 65% equity. The cost of debt for PG&amp;E is not significantly different than for SCE.  As an additional sensitivity, we examined the results of using discount rates of 10.74 percent and 12.74 percent.</w:t>
      </w:r>
    </w:p>
    <w:p>
      <w:pPr>
        <w:pStyle w:val="BodyText"/>
        <w:rPr/>
      </w:pPr>
      <w:r>
        <w:rPr/>
      </w:r>
    </w:p>
    <w:p>
      <w:pPr>
        <w:pStyle w:val="BodyText"/>
        <w:rPr/>
      </w:pPr>
      <w:r>
        <w:rPr/>
        <w:t xml:space="preserve">The results using the CEC’s latest price assumptions for 2000 and 2001, and a discount rate of 11.74 percent, are presented in Table 3.  Table 4 presents results using alternative price forecasts and discount rates, assuming average year generation and a 3.5 percent market price escalation. </w:t>
      </w:r>
    </w:p>
    <w:p>
      <w:pPr>
        <w:pStyle w:val="BodyText"/>
        <w:rPr/>
      </w:pPr>
      <w:r>
        <w:rPr/>
      </w:r>
    </w:p>
    <w:p>
      <w:pPr>
        <w:pStyle w:val="BodyText"/>
        <w:rPr/>
      </w:pPr>
      <w:r>
        <w:rPr/>
        <w:t xml:space="preserve">Again, note that these estimates do </w:t>
      </w:r>
      <w:r>
        <w:rPr>
          <w:b/>
        </w:rPr>
        <w:t>not</w:t>
      </w:r>
      <w:r>
        <w:rPr/>
        <w:t xml:space="preserve"> include a value for the Helms facility.</w:t>
      </w:r>
      <w:r>
        <w:rPr>
          <w:vertAlign w:val="superscript"/>
        </w:rPr>
        <w:t xml:space="preserve"> </w:t>
      </w:r>
      <w:r>
        <w:rPr/>
        <w:t>Tables 5 and 6 present these results including the Helms assets, assuming that Helms receives a similar valuation (in $/kW) as the other PG&amp;E assets.</w:t>
      </w:r>
    </w:p>
    <w:p>
      <w:pPr>
        <w:pStyle w:val="BodyText"/>
        <w:rPr/>
      </w:pPr>
      <w:r>
        <w:rPr/>
      </w:r>
    </w:p>
    <w:p>
      <w:pPr>
        <w:pStyle w:val="BodyText"/>
        <w:rPr/>
      </w:pPr>
      <w:r>
        <w:rPr/>
        <w:t>Attached to this memorandum are appendices showing a detailed breakdown of the numbers shown in these tables.  Appendix A contains details for the sensitivities in Tables 3 and 5; Appendix B contains details for the sensitivities in Tables 4 and 6.</w:t>
      </w:r>
      <w:r>
        <w:br w:type="page"/>
      </w:r>
    </w:p>
    <w:p>
      <w:pPr>
        <w:pStyle w:val="BodyText"/>
        <w:rPr/>
      </w:pPr>
      <w:r>
        <w:rPr/>
      </w:r>
    </w:p>
    <w:p>
      <w:pPr>
        <w:pStyle w:val="Normal"/>
        <w:rPr/>
      </w:pPr>
      <w:r>
        <w:rPr/>
      </w:r>
    </w:p>
    <w:p>
      <w:pPr>
        <w:pStyle w:val="BodyText"/>
        <w:jc w:val="center"/>
        <w:rPr>
          <w:b/>
        </w:rPr>
      </w:pPr>
      <w:r>
        <w:rPr>
          <w:b/>
        </w:rPr>
        <w:t>Table 3.  Net Present Value of Net Revenues for PG&amp;E Hydroelectric Assets, Excluding Helms, Standard CEC Price Assumptions for 2000 and 2001 ($ Millions)</w:t>
      </w:r>
    </w:p>
    <w:tbl>
      <w:tblPr>
        <w:tblW w:w="9558" w:type="dxa"/>
        <w:jc w:val="start"/>
        <w:tblInd w:w="0" w:type="dxa"/>
        <w:tblLayout w:type="fixed"/>
        <w:tblCellMar>
          <w:top w:w="0" w:type="dxa"/>
          <w:start w:w="108" w:type="dxa"/>
          <w:bottom w:w="0" w:type="dxa"/>
          <w:end w:w="108" w:type="dxa"/>
        </w:tblCellMar>
      </w:tblPr>
      <w:tblGrid>
        <w:gridCol w:w="2389"/>
        <w:gridCol w:w="2390"/>
        <w:gridCol w:w="2389"/>
        <w:gridCol w:w="2390"/>
      </w:tblGrid>
      <w:tr>
        <w:trPr/>
        <w:tc>
          <w:tcPr>
            <w:tcW w:w="2389"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Annual Market Revenue Escalation</w:t>
            </w:r>
          </w:p>
        </w:tc>
        <w:tc>
          <w:tcPr>
            <w:tcW w:w="239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p>
            <w:pPr>
              <w:pStyle w:val="Normal"/>
              <w:jc w:val="center"/>
              <w:rPr>
                <w:b/>
              </w:rPr>
            </w:pPr>
            <w:r>
              <w:rPr>
                <w:b/>
              </w:rPr>
              <w:t>Average Generation</w:t>
            </w:r>
          </w:p>
        </w:tc>
        <w:tc>
          <w:tcPr>
            <w:tcW w:w="2389"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p>
            <w:pPr>
              <w:pStyle w:val="Normal"/>
              <w:jc w:val="center"/>
              <w:rPr>
                <w:b/>
              </w:rPr>
            </w:pPr>
            <w:r>
              <w:rPr>
                <w:b/>
              </w:rPr>
              <w:t>“</w:t>
            </w:r>
            <w:r>
              <w:rPr>
                <w:b/>
              </w:rPr>
              <w:t>Dry Year” Generation</w:t>
            </w:r>
          </w:p>
        </w:tc>
        <w:tc>
          <w:tcPr>
            <w:tcW w:w="239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p>
            <w:pPr>
              <w:pStyle w:val="Normal"/>
              <w:jc w:val="center"/>
              <w:rPr>
                <w:b/>
              </w:rPr>
            </w:pPr>
            <w:r>
              <w:rPr>
                <w:b/>
              </w:rPr>
              <w:t>“</w:t>
            </w:r>
            <w:r>
              <w:rPr>
                <w:b/>
              </w:rPr>
              <w:t>Wet Year” Generation</w:t>
            </w:r>
          </w:p>
        </w:tc>
      </w:tr>
      <w:tr>
        <w:trPr/>
        <w:tc>
          <w:tcPr>
            <w:tcW w:w="2389" w:type="dxa"/>
            <w:tcBorders>
              <w:top w:val="single" w:sz="4" w:space="0" w:color="000000"/>
              <w:start w:val="single" w:sz="4" w:space="0" w:color="000000"/>
              <w:bottom w:val="single" w:sz="4" w:space="0" w:color="000000"/>
              <w:end w:val="single" w:sz="4" w:space="0" w:color="000000"/>
            </w:tcBorders>
          </w:tcPr>
          <w:p>
            <w:pPr>
              <w:pStyle w:val="Normal"/>
              <w:rPr/>
            </w:pPr>
            <w:r>
              <w:rPr/>
              <w:t>2.5%</w:t>
            </w:r>
          </w:p>
        </w:tc>
        <w:tc>
          <w:tcPr>
            <w:tcW w:w="2390" w:type="dxa"/>
            <w:tcBorders>
              <w:top w:val="single" w:sz="4" w:space="0" w:color="000000"/>
              <w:start w:val="single" w:sz="4" w:space="0" w:color="000000"/>
              <w:bottom w:val="single" w:sz="4" w:space="0" w:color="000000"/>
              <w:end w:val="single" w:sz="4" w:space="0" w:color="000000"/>
            </w:tcBorders>
          </w:tcPr>
          <w:p>
            <w:pPr>
              <w:pStyle w:val="Normal"/>
              <w:jc w:val="center"/>
              <w:rPr/>
            </w:pPr>
            <w:r>
              <w:rPr/>
              <w:t>2,653</w:t>
            </w:r>
          </w:p>
        </w:tc>
        <w:tc>
          <w:tcPr>
            <w:tcW w:w="2389" w:type="dxa"/>
            <w:tcBorders>
              <w:top w:val="single" w:sz="4" w:space="0" w:color="000000"/>
              <w:start w:val="single" w:sz="4" w:space="0" w:color="000000"/>
              <w:bottom w:val="single" w:sz="4" w:space="0" w:color="000000"/>
              <w:end w:val="single" w:sz="4" w:space="0" w:color="000000"/>
            </w:tcBorders>
          </w:tcPr>
          <w:p>
            <w:pPr>
              <w:pStyle w:val="Normal"/>
              <w:jc w:val="center"/>
              <w:rPr/>
            </w:pPr>
            <w:r>
              <w:rPr/>
              <w:t>1,409</w:t>
            </w:r>
          </w:p>
        </w:tc>
        <w:tc>
          <w:tcPr>
            <w:tcW w:w="2390" w:type="dxa"/>
            <w:tcBorders>
              <w:top w:val="single" w:sz="4" w:space="0" w:color="000000"/>
              <w:start w:val="single" w:sz="4" w:space="0" w:color="000000"/>
              <w:bottom w:val="single" w:sz="4" w:space="0" w:color="000000"/>
              <w:end w:val="single" w:sz="4" w:space="0" w:color="000000"/>
            </w:tcBorders>
          </w:tcPr>
          <w:p>
            <w:pPr>
              <w:pStyle w:val="Normal"/>
              <w:jc w:val="center"/>
              <w:rPr/>
            </w:pPr>
            <w:r>
              <w:rPr/>
              <w:t>3,360</w:t>
            </w:r>
          </w:p>
        </w:tc>
      </w:tr>
      <w:tr>
        <w:trPr/>
        <w:tc>
          <w:tcPr>
            <w:tcW w:w="2389" w:type="dxa"/>
            <w:tcBorders>
              <w:top w:val="single" w:sz="4" w:space="0" w:color="000000"/>
              <w:start w:val="single" w:sz="4" w:space="0" w:color="000000"/>
              <w:bottom w:val="single" w:sz="4" w:space="0" w:color="000000"/>
              <w:end w:val="single" w:sz="4" w:space="0" w:color="000000"/>
            </w:tcBorders>
          </w:tcPr>
          <w:p>
            <w:pPr>
              <w:pStyle w:val="Normal"/>
              <w:rPr/>
            </w:pPr>
            <w:r>
              <w:rPr/>
              <w:t>3.5%</w:t>
            </w:r>
          </w:p>
        </w:tc>
        <w:tc>
          <w:tcPr>
            <w:tcW w:w="2390" w:type="dxa"/>
            <w:tcBorders>
              <w:top w:val="single" w:sz="4" w:space="0" w:color="000000"/>
              <w:start w:val="single" w:sz="4" w:space="0" w:color="000000"/>
              <w:bottom w:val="single" w:sz="4" w:space="0" w:color="000000"/>
              <w:end w:val="single" w:sz="4" w:space="0" w:color="000000"/>
            </w:tcBorders>
          </w:tcPr>
          <w:p>
            <w:pPr>
              <w:pStyle w:val="Normal"/>
              <w:jc w:val="center"/>
              <w:rPr/>
            </w:pPr>
            <w:r>
              <w:rPr/>
              <w:t>2,966</w:t>
            </w:r>
          </w:p>
        </w:tc>
        <w:tc>
          <w:tcPr>
            <w:tcW w:w="2389" w:type="dxa"/>
            <w:tcBorders>
              <w:top w:val="single" w:sz="4" w:space="0" w:color="000000"/>
              <w:start w:val="single" w:sz="4" w:space="0" w:color="000000"/>
              <w:bottom w:val="single" w:sz="4" w:space="0" w:color="000000"/>
              <w:end w:val="single" w:sz="4" w:space="0" w:color="000000"/>
            </w:tcBorders>
          </w:tcPr>
          <w:p>
            <w:pPr>
              <w:pStyle w:val="Normal"/>
              <w:jc w:val="center"/>
              <w:rPr/>
            </w:pPr>
            <w:r>
              <w:rPr/>
              <w:t>1,604</w:t>
            </w:r>
          </w:p>
        </w:tc>
        <w:tc>
          <w:tcPr>
            <w:tcW w:w="2390" w:type="dxa"/>
            <w:tcBorders>
              <w:top w:val="single" w:sz="4" w:space="0" w:color="000000"/>
              <w:start w:val="single" w:sz="4" w:space="0" w:color="000000"/>
              <w:bottom w:val="single" w:sz="4" w:space="0" w:color="000000"/>
              <w:end w:val="single" w:sz="4" w:space="0" w:color="000000"/>
            </w:tcBorders>
          </w:tcPr>
          <w:p>
            <w:pPr>
              <w:pStyle w:val="Normal"/>
              <w:jc w:val="center"/>
              <w:rPr/>
            </w:pPr>
            <w:r>
              <w:rPr/>
              <w:t>3,740</w:t>
            </w:r>
          </w:p>
        </w:tc>
      </w:tr>
      <w:tr>
        <w:trPr/>
        <w:tc>
          <w:tcPr>
            <w:tcW w:w="2389" w:type="dxa"/>
            <w:tcBorders>
              <w:top w:val="single" w:sz="4" w:space="0" w:color="000000"/>
              <w:start w:val="single" w:sz="4" w:space="0" w:color="000000"/>
              <w:bottom w:val="single" w:sz="4" w:space="0" w:color="000000"/>
              <w:end w:val="single" w:sz="4" w:space="0" w:color="000000"/>
            </w:tcBorders>
          </w:tcPr>
          <w:p>
            <w:pPr>
              <w:pStyle w:val="Normal"/>
              <w:rPr/>
            </w:pPr>
            <w:r>
              <w:rPr/>
              <w:t>4.5%</w:t>
            </w:r>
          </w:p>
        </w:tc>
        <w:tc>
          <w:tcPr>
            <w:tcW w:w="2390" w:type="dxa"/>
            <w:tcBorders>
              <w:top w:val="single" w:sz="4" w:space="0" w:color="000000"/>
              <w:start w:val="single" w:sz="4" w:space="0" w:color="000000"/>
              <w:bottom w:val="single" w:sz="4" w:space="0" w:color="000000"/>
              <w:end w:val="single" w:sz="4" w:space="0" w:color="000000"/>
            </w:tcBorders>
          </w:tcPr>
          <w:p>
            <w:pPr>
              <w:pStyle w:val="Normal"/>
              <w:jc w:val="center"/>
              <w:rPr/>
            </w:pPr>
            <w:r>
              <w:rPr/>
              <w:t>3,337</w:t>
            </w:r>
          </w:p>
        </w:tc>
        <w:tc>
          <w:tcPr>
            <w:tcW w:w="2389" w:type="dxa"/>
            <w:tcBorders>
              <w:top w:val="single" w:sz="4" w:space="0" w:color="000000"/>
              <w:start w:val="single" w:sz="4" w:space="0" w:color="000000"/>
              <w:bottom w:val="single" w:sz="4" w:space="0" w:color="000000"/>
              <w:end w:val="single" w:sz="4" w:space="0" w:color="000000"/>
            </w:tcBorders>
          </w:tcPr>
          <w:p>
            <w:pPr>
              <w:pStyle w:val="Normal"/>
              <w:jc w:val="center"/>
              <w:rPr/>
            </w:pPr>
            <w:r>
              <w:rPr/>
              <w:t>1,835</w:t>
            </w:r>
          </w:p>
        </w:tc>
        <w:tc>
          <w:tcPr>
            <w:tcW w:w="2390" w:type="dxa"/>
            <w:tcBorders>
              <w:top w:val="single" w:sz="4" w:space="0" w:color="000000"/>
              <w:start w:val="single" w:sz="4" w:space="0" w:color="000000"/>
              <w:bottom w:val="single" w:sz="4" w:space="0" w:color="000000"/>
              <w:end w:val="single" w:sz="4" w:space="0" w:color="000000"/>
            </w:tcBorders>
          </w:tcPr>
          <w:p>
            <w:pPr>
              <w:pStyle w:val="Normal"/>
              <w:jc w:val="center"/>
              <w:rPr/>
            </w:pPr>
            <w:r>
              <w:rPr/>
              <w:t>4,190</w:t>
            </w:r>
          </w:p>
        </w:tc>
      </w:tr>
    </w:tbl>
    <w:p>
      <w:pPr>
        <w:pStyle w:val="Normal"/>
        <w:rPr/>
      </w:pPr>
      <w:r>
        <w:rPr/>
      </w:r>
    </w:p>
    <w:p>
      <w:pPr>
        <w:pStyle w:val="Normal"/>
        <w:rPr/>
      </w:pPr>
      <w:r>
        <w:rPr/>
      </w:r>
    </w:p>
    <w:p>
      <w:pPr>
        <w:pStyle w:val="BodyText2"/>
        <w:jc w:val="center"/>
        <w:rPr/>
      </w:pPr>
      <w:r>
        <w:rPr/>
        <w:t>Table 4.  Net Present Value of Net Revenues for PG&amp;E Hydroelectric Assets, Excluding Helms, Alternative Discount Rates and Price Forecasts ($ Millions)</w:t>
      </w:r>
    </w:p>
    <w:tbl>
      <w:tblPr>
        <w:tblW w:w="9576" w:type="dxa"/>
        <w:jc w:val="start"/>
        <w:tblInd w:w="0" w:type="dxa"/>
        <w:tblLayout w:type="fixed"/>
        <w:tblCellMar>
          <w:top w:w="0" w:type="dxa"/>
          <w:start w:w="108" w:type="dxa"/>
          <w:bottom w:w="0" w:type="dxa"/>
          <w:end w:w="108" w:type="dxa"/>
        </w:tblCellMar>
      </w:tblPr>
      <w:tblGrid>
        <w:gridCol w:w="2394"/>
        <w:gridCol w:w="2394"/>
        <w:gridCol w:w="2394"/>
        <w:gridCol w:w="2394"/>
      </w:tblGrid>
      <w:tr>
        <w:trPr/>
        <w:tc>
          <w:tcPr>
            <w:tcW w:w="2394"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p>
            <w:pPr>
              <w:pStyle w:val="Heading1"/>
              <w:tabs>
                <w:tab w:val="clear" w:pos="4680"/>
              </w:tabs>
              <w:ind w:hanging="0" w:start="0"/>
              <w:rPr/>
            </w:pPr>
            <w:r>
              <w:rPr/>
              <w:t>Discount Rate</w:t>
            </w:r>
          </w:p>
        </w:tc>
        <w:tc>
          <w:tcPr>
            <w:tcW w:w="2394" w:type="dxa"/>
            <w:tcBorders>
              <w:top w:val="single" w:sz="4" w:space="0" w:color="000000"/>
              <w:start w:val="single" w:sz="4" w:space="0" w:color="000000"/>
              <w:bottom w:val="single" w:sz="4" w:space="0" w:color="000000"/>
              <w:end w:val="single" w:sz="4" w:space="0" w:color="000000"/>
            </w:tcBorders>
          </w:tcPr>
          <w:p>
            <w:pPr>
              <w:pStyle w:val="Footer"/>
              <w:tabs>
                <w:tab w:val="clear" w:pos="4320"/>
                <w:tab w:val="clear" w:pos="8640"/>
              </w:tabs>
              <w:jc w:val="center"/>
              <w:rPr>
                <w:b/>
              </w:rPr>
            </w:pPr>
            <w:r>
              <w:rPr>
                <w:b/>
              </w:rPr>
              <w:t>CEC Two-Year Forecast</w:t>
            </w:r>
          </w:p>
        </w:tc>
        <w:tc>
          <w:tcPr>
            <w:tcW w:w="2394"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SCE Adopted Two-Year Forecast</w:t>
            </w:r>
          </w:p>
        </w:tc>
        <w:tc>
          <w:tcPr>
            <w:tcW w:w="2394"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Henwood 21 Year Forecast</w:t>
            </w:r>
          </w:p>
        </w:tc>
      </w:tr>
      <w:tr>
        <w:trPr/>
        <w:tc>
          <w:tcPr>
            <w:tcW w:w="2394" w:type="dxa"/>
            <w:tcBorders>
              <w:top w:val="single" w:sz="4" w:space="0" w:color="000000"/>
              <w:start w:val="single" w:sz="4" w:space="0" w:color="000000"/>
              <w:bottom w:val="single" w:sz="4" w:space="0" w:color="000000"/>
              <w:end w:val="single" w:sz="4" w:space="0" w:color="000000"/>
            </w:tcBorders>
          </w:tcPr>
          <w:p>
            <w:pPr>
              <w:pStyle w:val="Normal"/>
              <w:rPr/>
            </w:pPr>
            <w:r>
              <w:rPr/>
              <w:t>10.74%</w:t>
            </w:r>
          </w:p>
        </w:tc>
        <w:tc>
          <w:tcPr>
            <w:tcW w:w="2394" w:type="dxa"/>
            <w:tcBorders>
              <w:top w:val="single" w:sz="4" w:space="0" w:color="000000"/>
              <w:start w:val="single" w:sz="4" w:space="0" w:color="000000"/>
              <w:bottom w:val="single" w:sz="4" w:space="0" w:color="000000"/>
              <w:end w:val="single" w:sz="4" w:space="0" w:color="000000"/>
            </w:tcBorders>
          </w:tcPr>
          <w:p>
            <w:pPr>
              <w:pStyle w:val="Normal"/>
              <w:jc w:val="center"/>
              <w:rPr/>
            </w:pPr>
            <w:r>
              <w:rPr/>
              <w:t>3,331</w:t>
            </w:r>
          </w:p>
        </w:tc>
        <w:tc>
          <w:tcPr>
            <w:tcW w:w="2394" w:type="dxa"/>
            <w:tcBorders>
              <w:top w:val="single" w:sz="4" w:space="0" w:color="000000"/>
              <w:start w:val="single" w:sz="4" w:space="0" w:color="000000"/>
              <w:bottom w:val="single" w:sz="4" w:space="0" w:color="000000"/>
              <w:end w:val="single" w:sz="4" w:space="0" w:color="000000"/>
            </w:tcBorders>
          </w:tcPr>
          <w:p>
            <w:pPr>
              <w:pStyle w:val="Normal"/>
              <w:jc w:val="center"/>
              <w:rPr/>
            </w:pPr>
            <w:r>
              <w:rPr/>
              <w:t>3,133</w:t>
            </w:r>
          </w:p>
        </w:tc>
        <w:tc>
          <w:tcPr>
            <w:tcW w:w="2394" w:type="dxa"/>
            <w:tcBorders>
              <w:top w:val="single" w:sz="4" w:space="0" w:color="000000"/>
              <w:start w:val="single" w:sz="4" w:space="0" w:color="000000"/>
              <w:bottom w:val="single" w:sz="4" w:space="0" w:color="000000"/>
              <w:end w:val="single" w:sz="4" w:space="0" w:color="000000"/>
            </w:tcBorders>
          </w:tcPr>
          <w:p>
            <w:pPr>
              <w:pStyle w:val="Normal"/>
              <w:jc w:val="center"/>
              <w:rPr/>
            </w:pPr>
            <w:r>
              <w:rPr/>
              <w:t>3,279</w:t>
            </w:r>
          </w:p>
        </w:tc>
      </w:tr>
      <w:tr>
        <w:trPr/>
        <w:tc>
          <w:tcPr>
            <w:tcW w:w="2394" w:type="dxa"/>
            <w:tcBorders>
              <w:top w:val="single" w:sz="4" w:space="0" w:color="000000"/>
              <w:start w:val="single" w:sz="4" w:space="0" w:color="000000"/>
              <w:bottom w:val="single" w:sz="4" w:space="0" w:color="000000"/>
              <w:end w:val="single" w:sz="4" w:space="0" w:color="000000"/>
            </w:tcBorders>
          </w:tcPr>
          <w:p>
            <w:pPr>
              <w:pStyle w:val="Normal"/>
              <w:rPr/>
            </w:pPr>
            <w:r>
              <w:rPr/>
              <w:t>11.74%</w:t>
            </w:r>
          </w:p>
        </w:tc>
        <w:tc>
          <w:tcPr>
            <w:tcW w:w="2394" w:type="dxa"/>
            <w:tcBorders>
              <w:top w:val="single" w:sz="4" w:space="0" w:color="000000"/>
              <w:start w:val="single" w:sz="4" w:space="0" w:color="000000"/>
              <w:bottom w:val="single" w:sz="4" w:space="0" w:color="000000"/>
              <w:end w:val="single" w:sz="4" w:space="0" w:color="000000"/>
            </w:tcBorders>
          </w:tcPr>
          <w:p>
            <w:pPr>
              <w:pStyle w:val="Normal"/>
              <w:jc w:val="center"/>
              <w:rPr/>
            </w:pPr>
            <w:r>
              <w:rPr/>
              <w:t>2,966</w:t>
            </w:r>
          </w:p>
        </w:tc>
        <w:tc>
          <w:tcPr>
            <w:tcW w:w="2394" w:type="dxa"/>
            <w:tcBorders>
              <w:top w:val="single" w:sz="4" w:space="0" w:color="000000"/>
              <w:start w:val="single" w:sz="4" w:space="0" w:color="000000"/>
              <w:bottom w:val="single" w:sz="4" w:space="0" w:color="000000"/>
              <w:end w:val="single" w:sz="4" w:space="0" w:color="000000"/>
            </w:tcBorders>
          </w:tcPr>
          <w:p>
            <w:pPr>
              <w:pStyle w:val="Normal"/>
              <w:jc w:val="center"/>
              <w:rPr/>
            </w:pPr>
            <w:r>
              <w:rPr/>
              <w:t>2,790</w:t>
            </w:r>
          </w:p>
        </w:tc>
        <w:tc>
          <w:tcPr>
            <w:tcW w:w="2394" w:type="dxa"/>
            <w:tcBorders>
              <w:top w:val="single" w:sz="4" w:space="0" w:color="000000"/>
              <w:start w:val="single" w:sz="4" w:space="0" w:color="000000"/>
              <w:bottom w:val="single" w:sz="4" w:space="0" w:color="000000"/>
              <w:end w:val="single" w:sz="4" w:space="0" w:color="000000"/>
            </w:tcBorders>
          </w:tcPr>
          <w:p>
            <w:pPr>
              <w:pStyle w:val="Normal"/>
              <w:jc w:val="center"/>
              <w:rPr/>
            </w:pPr>
            <w:r>
              <w:rPr/>
              <w:t>2,927</w:t>
            </w:r>
          </w:p>
        </w:tc>
      </w:tr>
      <w:tr>
        <w:trPr/>
        <w:tc>
          <w:tcPr>
            <w:tcW w:w="2394" w:type="dxa"/>
            <w:tcBorders>
              <w:top w:val="single" w:sz="4" w:space="0" w:color="000000"/>
              <w:start w:val="single" w:sz="4" w:space="0" w:color="000000"/>
              <w:bottom w:val="single" w:sz="4" w:space="0" w:color="000000"/>
              <w:end w:val="single" w:sz="4" w:space="0" w:color="000000"/>
            </w:tcBorders>
          </w:tcPr>
          <w:p>
            <w:pPr>
              <w:pStyle w:val="Normal"/>
              <w:rPr/>
            </w:pPr>
            <w:r>
              <w:rPr/>
              <w:t>12.74%</w:t>
            </w:r>
          </w:p>
        </w:tc>
        <w:tc>
          <w:tcPr>
            <w:tcW w:w="2394" w:type="dxa"/>
            <w:tcBorders>
              <w:top w:val="single" w:sz="4" w:space="0" w:color="000000"/>
              <w:start w:val="single" w:sz="4" w:space="0" w:color="000000"/>
              <w:bottom w:val="single" w:sz="4" w:space="0" w:color="000000"/>
              <w:end w:val="single" w:sz="4" w:space="0" w:color="000000"/>
            </w:tcBorders>
          </w:tcPr>
          <w:p>
            <w:pPr>
              <w:pStyle w:val="Normal"/>
              <w:jc w:val="center"/>
              <w:rPr/>
            </w:pPr>
            <w:r>
              <w:rPr/>
              <w:t>2,666</w:t>
            </w:r>
          </w:p>
        </w:tc>
        <w:tc>
          <w:tcPr>
            <w:tcW w:w="2394" w:type="dxa"/>
            <w:tcBorders>
              <w:top w:val="single" w:sz="4" w:space="0" w:color="000000"/>
              <w:start w:val="single" w:sz="4" w:space="0" w:color="000000"/>
              <w:bottom w:val="single" w:sz="4" w:space="0" w:color="000000"/>
              <w:end w:val="single" w:sz="4" w:space="0" w:color="000000"/>
            </w:tcBorders>
          </w:tcPr>
          <w:p>
            <w:pPr>
              <w:pStyle w:val="Normal"/>
              <w:jc w:val="center"/>
              <w:rPr/>
            </w:pPr>
            <w:r>
              <w:rPr/>
              <w:t>2,507</w:t>
            </w:r>
          </w:p>
        </w:tc>
        <w:tc>
          <w:tcPr>
            <w:tcW w:w="2394" w:type="dxa"/>
            <w:tcBorders>
              <w:top w:val="single" w:sz="4" w:space="0" w:color="000000"/>
              <w:start w:val="single" w:sz="4" w:space="0" w:color="000000"/>
              <w:bottom w:val="single" w:sz="4" w:space="0" w:color="000000"/>
              <w:end w:val="single" w:sz="4" w:space="0" w:color="000000"/>
            </w:tcBorders>
          </w:tcPr>
          <w:p>
            <w:pPr>
              <w:pStyle w:val="Normal"/>
              <w:jc w:val="center"/>
              <w:rPr/>
            </w:pPr>
            <w:r>
              <w:rPr/>
              <w:t>2,636</w:t>
            </w:r>
          </w:p>
        </w:tc>
      </w:tr>
    </w:tbl>
    <w:p>
      <w:pPr>
        <w:pStyle w:val="Normal"/>
        <w:rPr/>
      </w:pPr>
      <w:r>
        <w:rPr/>
        <w:t>*Assumes average year generation and a market price escalation of 3.5 percent</w:t>
      </w:r>
    </w:p>
    <w:p>
      <w:pPr>
        <w:pStyle w:val="Normal"/>
        <w:rPr/>
      </w:pPr>
      <w:r>
        <w:rPr/>
      </w:r>
    </w:p>
    <w:p>
      <w:pPr>
        <w:pStyle w:val="BodyText"/>
        <w:jc w:val="center"/>
        <w:rPr>
          <w:b/>
        </w:rPr>
      </w:pPr>
      <w:r>
        <w:rPr>
          <w:b/>
        </w:rPr>
        <w:t>Table 5.  Net Present Value of Net Revenues for PG&amp;E Hydroelectric Assets, Including Helms, Standard CEC Price Assumptions for 2000 and 2001 ($ Millions)</w:t>
      </w:r>
    </w:p>
    <w:tbl>
      <w:tblPr>
        <w:tblW w:w="9558" w:type="dxa"/>
        <w:jc w:val="start"/>
        <w:tblInd w:w="0" w:type="dxa"/>
        <w:tblLayout w:type="fixed"/>
        <w:tblCellMar>
          <w:top w:w="0" w:type="dxa"/>
          <w:start w:w="108" w:type="dxa"/>
          <w:bottom w:w="0" w:type="dxa"/>
          <w:end w:w="108" w:type="dxa"/>
        </w:tblCellMar>
      </w:tblPr>
      <w:tblGrid>
        <w:gridCol w:w="2389"/>
        <w:gridCol w:w="2390"/>
        <w:gridCol w:w="2389"/>
        <w:gridCol w:w="2390"/>
      </w:tblGrid>
      <w:tr>
        <w:trPr/>
        <w:tc>
          <w:tcPr>
            <w:tcW w:w="2389"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Annual Market Revenue Escalation</w:t>
            </w:r>
          </w:p>
        </w:tc>
        <w:tc>
          <w:tcPr>
            <w:tcW w:w="239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p>
            <w:pPr>
              <w:pStyle w:val="Normal"/>
              <w:jc w:val="center"/>
              <w:rPr>
                <w:b/>
              </w:rPr>
            </w:pPr>
            <w:r>
              <w:rPr>
                <w:b/>
              </w:rPr>
              <w:t>Average Generation</w:t>
            </w:r>
          </w:p>
        </w:tc>
        <w:tc>
          <w:tcPr>
            <w:tcW w:w="2389"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p>
            <w:pPr>
              <w:pStyle w:val="Normal"/>
              <w:jc w:val="center"/>
              <w:rPr>
                <w:b/>
              </w:rPr>
            </w:pPr>
            <w:r>
              <w:rPr>
                <w:b/>
              </w:rPr>
              <w:t>“</w:t>
            </w:r>
            <w:r>
              <w:rPr>
                <w:b/>
              </w:rPr>
              <w:t>Dry Year” Generation</w:t>
            </w:r>
          </w:p>
        </w:tc>
        <w:tc>
          <w:tcPr>
            <w:tcW w:w="239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p>
            <w:pPr>
              <w:pStyle w:val="Normal"/>
              <w:jc w:val="center"/>
              <w:rPr>
                <w:b/>
              </w:rPr>
            </w:pPr>
            <w:r>
              <w:rPr>
                <w:b/>
              </w:rPr>
              <w:t>“</w:t>
            </w:r>
            <w:r>
              <w:rPr>
                <w:b/>
              </w:rPr>
              <w:t>Wet Year” Generation</w:t>
            </w:r>
          </w:p>
        </w:tc>
      </w:tr>
      <w:tr>
        <w:trPr/>
        <w:tc>
          <w:tcPr>
            <w:tcW w:w="2389" w:type="dxa"/>
            <w:tcBorders>
              <w:top w:val="single" w:sz="4" w:space="0" w:color="000000"/>
              <w:start w:val="single" w:sz="4" w:space="0" w:color="000000"/>
              <w:bottom w:val="single" w:sz="4" w:space="0" w:color="000000"/>
              <w:end w:val="single" w:sz="4" w:space="0" w:color="000000"/>
            </w:tcBorders>
          </w:tcPr>
          <w:p>
            <w:pPr>
              <w:pStyle w:val="Normal"/>
              <w:rPr/>
            </w:pPr>
            <w:r>
              <w:rPr/>
              <w:t>2.5%</w:t>
            </w:r>
          </w:p>
        </w:tc>
        <w:tc>
          <w:tcPr>
            <w:tcW w:w="2390" w:type="dxa"/>
            <w:tcBorders>
              <w:top w:val="single" w:sz="4" w:space="0" w:color="000000"/>
              <w:start w:val="single" w:sz="4" w:space="0" w:color="000000"/>
              <w:bottom w:val="single" w:sz="4" w:space="0" w:color="000000"/>
              <w:end w:val="single" w:sz="4" w:space="0" w:color="000000"/>
            </w:tcBorders>
          </w:tcPr>
          <w:p>
            <w:pPr>
              <w:pStyle w:val="Normal"/>
              <w:jc w:val="center"/>
              <w:rPr/>
            </w:pPr>
            <w:r>
              <w:rPr/>
              <w:t>3,852</w:t>
            </w:r>
          </w:p>
        </w:tc>
        <w:tc>
          <w:tcPr>
            <w:tcW w:w="2389" w:type="dxa"/>
            <w:tcBorders>
              <w:top w:val="single" w:sz="4" w:space="0" w:color="000000"/>
              <w:start w:val="single" w:sz="4" w:space="0" w:color="000000"/>
              <w:bottom w:val="single" w:sz="4" w:space="0" w:color="000000"/>
              <w:end w:val="single" w:sz="4" w:space="0" w:color="000000"/>
            </w:tcBorders>
          </w:tcPr>
          <w:p>
            <w:pPr>
              <w:pStyle w:val="Normal"/>
              <w:jc w:val="center"/>
              <w:rPr/>
            </w:pPr>
            <w:r>
              <w:rPr/>
              <w:t>2,045</w:t>
            </w:r>
          </w:p>
        </w:tc>
        <w:tc>
          <w:tcPr>
            <w:tcW w:w="2390" w:type="dxa"/>
            <w:tcBorders>
              <w:top w:val="single" w:sz="4" w:space="0" w:color="000000"/>
              <w:start w:val="single" w:sz="4" w:space="0" w:color="000000"/>
              <w:bottom w:val="single" w:sz="4" w:space="0" w:color="000000"/>
              <w:end w:val="single" w:sz="4" w:space="0" w:color="000000"/>
            </w:tcBorders>
          </w:tcPr>
          <w:p>
            <w:pPr>
              <w:pStyle w:val="Normal"/>
              <w:jc w:val="center"/>
              <w:rPr/>
            </w:pPr>
            <w:r>
              <w:rPr/>
              <w:t>4,878</w:t>
            </w:r>
          </w:p>
        </w:tc>
      </w:tr>
      <w:tr>
        <w:trPr/>
        <w:tc>
          <w:tcPr>
            <w:tcW w:w="2389" w:type="dxa"/>
            <w:tcBorders>
              <w:top w:val="single" w:sz="4" w:space="0" w:color="000000"/>
              <w:start w:val="single" w:sz="4" w:space="0" w:color="000000"/>
              <w:bottom w:val="single" w:sz="4" w:space="0" w:color="000000"/>
              <w:end w:val="single" w:sz="4" w:space="0" w:color="000000"/>
            </w:tcBorders>
          </w:tcPr>
          <w:p>
            <w:pPr>
              <w:pStyle w:val="Normal"/>
              <w:rPr/>
            </w:pPr>
            <w:r>
              <w:rPr/>
              <w:t>3.5%</w:t>
            </w:r>
          </w:p>
        </w:tc>
        <w:tc>
          <w:tcPr>
            <w:tcW w:w="2390" w:type="dxa"/>
            <w:tcBorders>
              <w:top w:val="single" w:sz="4" w:space="0" w:color="000000"/>
              <w:start w:val="single" w:sz="4" w:space="0" w:color="000000"/>
              <w:bottom w:val="single" w:sz="4" w:space="0" w:color="000000"/>
              <w:end w:val="single" w:sz="4" w:space="0" w:color="000000"/>
            </w:tcBorders>
          </w:tcPr>
          <w:p>
            <w:pPr>
              <w:pStyle w:val="Normal"/>
              <w:jc w:val="center"/>
              <w:rPr/>
            </w:pPr>
            <w:r>
              <w:rPr/>
              <w:t>4,305</w:t>
            </w:r>
          </w:p>
        </w:tc>
        <w:tc>
          <w:tcPr>
            <w:tcW w:w="2389" w:type="dxa"/>
            <w:tcBorders>
              <w:top w:val="single" w:sz="4" w:space="0" w:color="000000"/>
              <w:start w:val="single" w:sz="4" w:space="0" w:color="000000"/>
              <w:bottom w:val="single" w:sz="4" w:space="0" w:color="000000"/>
              <w:end w:val="single" w:sz="4" w:space="0" w:color="000000"/>
            </w:tcBorders>
          </w:tcPr>
          <w:p>
            <w:pPr>
              <w:pStyle w:val="Normal"/>
              <w:jc w:val="center"/>
              <w:rPr/>
            </w:pPr>
            <w:r>
              <w:rPr/>
              <w:t>2,328</w:t>
            </w:r>
          </w:p>
        </w:tc>
        <w:tc>
          <w:tcPr>
            <w:tcW w:w="2390" w:type="dxa"/>
            <w:tcBorders>
              <w:top w:val="single" w:sz="4" w:space="0" w:color="000000"/>
              <w:start w:val="single" w:sz="4" w:space="0" w:color="000000"/>
              <w:bottom w:val="single" w:sz="4" w:space="0" w:color="000000"/>
              <w:end w:val="single" w:sz="4" w:space="0" w:color="000000"/>
            </w:tcBorders>
          </w:tcPr>
          <w:p>
            <w:pPr>
              <w:pStyle w:val="Normal"/>
              <w:jc w:val="center"/>
              <w:rPr/>
            </w:pPr>
            <w:r>
              <w:rPr/>
              <w:t>5,429</w:t>
            </w:r>
          </w:p>
        </w:tc>
      </w:tr>
      <w:tr>
        <w:trPr/>
        <w:tc>
          <w:tcPr>
            <w:tcW w:w="2389" w:type="dxa"/>
            <w:tcBorders>
              <w:top w:val="single" w:sz="4" w:space="0" w:color="000000"/>
              <w:start w:val="single" w:sz="4" w:space="0" w:color="000000"/>
              <w:bottom w:val="single" w:sz="4" w:space="0" w:color="000000"/>
              <w:end w:val="single" w:sz="4" w:space="0" w:color="000000"/>
            </w:tcBorders>
          </w:tcPr>
          <w:p>
            <w:pPr>
              <w:pStyle w:val="Normal"/>
              <w:rPr/>
            </w:pPr>
            <w:r>
              <w:rPr/>
              <w:t>4.5%</w:t>
            </w:r>
          </w:p>
        </w:tc>
        <w:tc>
          <w:tcPr>
            <w:tcW w:w="2390" w:type="dxa"/>
            <w:tcBorders>
              <w:top w:val="single" w:sz="4" w:space="0" w:color="000000"/>
              <w:start w:val="single" w:sz="4" w:space="0" w:color="000000"/>
              <w:bottom w:val="single" w:sz="4" w:space="0" w:color="000000"/>
              <w:end w:val="single" w:sz="4" w:space="0" w:color="000000"/>
            </w:tcBorders>
          </w:tcPr>
          <w:p>
            <w:pPr>
              <w:pStyle w:val="Normal"/>
              <w:jc w:val="center"/>
              <w:rPr/>
            </w:pPr>
            <w:r>
              <w:rPr/>
              <w:t>4,843</w:t>
            </w:r>
          </w:p>
        </w:tc>
        <w:tc>
          <w:tcPr>
            <w:tcW w:w="2389" w:type="dxa"/>
            <w:tcBorders>
              <w:top w:val="single" w:sz="4" w:space="0" w:color="000000"/>
              <w:start w:val="single" w:sz="4" w:space="0" w:color="000000"/>
              <w:bottom w:val="single" w:sz="4" w:space="0" w:color="000000"/>
              <w:end w:val="single" w:sz="4" w:space="0" w:color="000000"/>
            </w:tcBorders>
          </w:tcPr>
          <w:p>
            <w:pPr>
              <w:pStyle w:val="Normal"/>
              <w:jc w:val="center"/>
              <w:rPr/>
            </w:pPr>
            <w:r>
              <w:rPr/>
              <w:t>2,663</w:t>
            </w:r>
          </w:p>
        </w:tc>
        <w:tc>
          <w:tcPr>
            <w:tcW w:w="2390" w:type="dxa"/>
            <w:tcBorders>
              <w:top w:val="single" w:sz="4" w:space="0" w:color="000000"/>
              <w:start w:val="single" w:sz="4" w:space="0" w:color="000000"/>
              <w:bottom w:val="single" w:sz="4" w:space="0" w:color="000000"/>
              <w:end w:val="single" w:sz="4" w:space="0" w:color="000000"/>
            </w:tcBorders>
          </w:tcPr>
          <w:p>
            <w:pPr>
              <w:pStyle w:val="Normal"/>
              <w:jc w:val="center"/>
              <w:rPr/>
            </w:pPr>
            <w:r>
              <w:rPr/>
              <w:t>6,082</w:t>
            </w:r>
          </w:p>
        </w:tc>
      </w:tr>
    </w:tbl>
    <w:p>
      <w:pPr>
        <w:pStyle w:val="Normal"/>
        <w:rPr/>
      </w:pPr>
      <w:r>
        <w:rPr/>
      </w:r>
    </w:p>
    <w:p>
      <w:pPr>
        <w:pStyle w:val="Normal"/>
        <w:rPr/>
      </w:pPr>
      <w:r>
        <w:rPr/>
      </w:r>
    </w:p>
    <w:p>
      <w:pPr>
        <w:pStyle w:val="BodyText2"/>
        <w:jc w:val="center"/>
        <w:rPr/>
      </w:pPr>
      <w:r>
        <w:rPr/>
        <w:t>Table 6.  Net Present Value of Net Revenues for PG&amp;E Hydroelectric Assets, Including Helms, Alternative Discount Rates and Price Forecasts ($ Millions)</w:t>
      </w:r>
    </w:p>
    <w:tbl>
      <w:tblPr>
        <w:tblW w:w="9576" w:type="dxa"/>
        <w:jc w:val="start"/>
        <w:tblInd w:w="0" w:type="dxa"/>
        <w:tblLayout w:type="fixed"/>
        <w:tblCellMar>
          <w:top w:w="0" w:type="dxa"/>
          <w:start w:w="108" w:type="dxa"/>
          <w:bottom w:w="0" w:type="dxa"/>
          <w:end w:w="108" w:type="dxa"/>
        </w:tblCellMar>
      </w:tblPr>
      <w:tblGrid>
        <w:gridCol w:w="2394"/>
        <w:gridCol w:w="2394"/>
        <w:gridCol w:w="2394"/>
        <w:gridCol w:w="2394"/>
      </w:tblGrid>
      <w:tr>
        <w:trPr/>
        <w:tc>
          <w:tcPr>
            <w:tcW w:w="2394"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p>
            <w:pPr>
              <w:pStyle w:val="Heading1"/>
              <w:tabs>
                <w:tab w:val="clear" w:pos="4680"/>
              </w:tabs>
              <w:ind w:hanging="0" w:start="0"/>
              <w:rPr/>
            </w:pPr>
            <w:r>
              <w:rPr/>
              <w:t>Discount Rate</w:t>
            </w:r>
          </w:p>
        </w:tc>
        <w:tc>
          <w:tcPr>
            <w:tcW w:w="2394" w:type="dxa"/>
            <w:tcBorders>
              <w:top w:val="single" w:sz="4" w:space="0" w:color="000000"/>
              <w:start w:val="single" w:sz="4" w:space="0" w:color="000000"/>
              <w:bottom w:val="single" w:sz="4" w:space="0" w:color="000000"/>
              <w:end w:val="single" w:sz="4" w:space="0" w:color="000000"/>
            </w:tcBorders>
          </w:tcPr>
          <w:p>
            <w:pPr>
              <w:pStyle w:val="Footer"/>
              <w:tabs>
                <w:tab w:val="clear" w:pos="4320"/>
                <w:tab w:val="clear" w:pos="8640"/>
              </w:tabs>
              <w:jc w:val="center"/>
              <w:rPr>
                <w:b/>
              </w:rPr>
            </w:pPr>
            <w:r>
              <w:rPr>
                <w:b/>
              </w:rPr>
              <w:t>CEC Two-Year Forecast</w:t>
            </w:r>
          </w:p>
        </w:tc>
        <w:tc>
          <w:tcPr>
            <w:tcW w:w="2394"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SCE Adopted Two-Year Forecast</w:t>
            </w:r>
          </w:p>
        </w:tc>
        <w:tc>
          <w:tcPr>
            <w:tcW w:w="2394"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Henwood 21 Year Forecast</w:t>
            </w:r>
          </w:p>
        </w:tc>
      </w:tr>
      <w:tr>
        <w:trPr/>
        <w:tc>
          <w:tcPr>
            <w:tcW w:w="2394" w:type="dxa"/>
            <w:tcBorders>
              <w:top w:val="single" w:sz="4" w:space="0" w:color="000000"/>
              <w:start w:val="single" w:sz="4" w:space="0" w:color="000000"/>
              <w:bottom w:val="single" w:sz="4" w:space="0" w:color="000000"/>
              <w:end w:val="single" w:sz="4" w:space="0" w:color="000000"/>
            </w:tcBorders>
          </w:tcPr>
          <w:p>
            <w:pPr>
              <w:pStyle w:val="Normal"/>
              <w:rPr/>
            </w:pPr>
            <w:r>
              <w:rPr/>
              <w:t>10.74%</w:t>
            </w:r>
          </w:p>
        </w:tc>
        <w:tc>
          <w:tcPr>
            <w:tcW w:w="2394" w:type="dxa"/>
            <w:tcBorders>
              <w:top w:val="single" w:sz="4" w:space="0" w:color="000000"/>
              <w:start w:val="single" w:sz="4" w:space="0" w:color="000000"/>
              <w:bottom w:val="single" w:sz="4" w:space="0" w:color="000000"/>
              <w:end w:val="single" w:sz="4" w:space="0" w:color="000000"/>
            </w:tcBorders>
          </w:tcPr>
          <w:p>
            <w:pPr>
              <w:pStyle w:val="Normal"/>
              <w:jc w:val="center"/>
              <w:rPr/>
            </w:pPr>
            <w:r>
              <w:rPr/>
              <w:t>4,835</w:t>
            </w:r>
          </w:p>
        </w:tc>
        <w:tc>
          <w:tcPr>
            <w:tcW w:w="2394" w:type="dxa"/>
            <w:tcBorders>
              <w:top w:val="single" w:sz="4" w:space="0" w:color="000000"/>
              <w:start w:val="single" w:sz="4" w:space="0" w:color="000000"/>
              <w:bottom w:val="single" w:sz="4" w:space="0" w:color="000000"/>
              <w:end w:val="single" w:sz="4" w:space="0" w:color="000000"/>
            </w:tcBorders>
          </w:tcPr>
          <w:p>
            <w:pPr>
              <w:pStyle w:val="Normal"/>
              <w:jc w:val="center"/>
              <w:rPr/>
            </w:pPr>
            <w:r>
              <w:rPr/>
              <w:t>4,548</w:t>
            </w:r>
          </w:p>
        </w:tc>
        <w:tc>
          <w:tcPr>
            <w:tcW w:w="2394" w:type="dxa"/>
            <w:tcBorders>
              <w:top w:val="single" w:sz="4" w:space="0" w:color="000000"/>
              <w:start w:val="single" w:sz="4" w:space="0" w:color="000000"/>
              <w:bottom w:val="single" w:sz="4" w:space="0" w:color="000000"/>
              <w:end w:val="single" w:sz="4" w:space="0" w:color="000000"/>
            </w:tcBorders>
          </w:tcPr>
          <w:p>
            <w:pPr>
              <w:pStyle w:val="Normal"/>
              <w:jc w:val="center"/>
              <w:rPr/>
            </w:pPr>
            <w:r>
              <w:rPr/>
              <w:t>4,760</w:t>
            </w:r>
          </w:p>
        </w:tc>
      </w:tr>
      <w:tr>
        <w:trPr/>
        <w:tc>
          <w:tcPr>
            <w:tcW w:w="2394" w:type="dxa"/>
            <w:tcBorders>
              <w:top w:val="single" w:sz="4" w:space="0" w:color="000000"/>
              <w:start w:val="single" w:sz="4" w:space="0" w:color="000000"/>
              <w:bottom w:val="single" w:sz="4" w:space="0" w:color="000000"/>
              <w:end w:val="single" w:sz="4" w:space="0" w:color="000000"/>
            </w:tcBorders>
          </w:tcPr>
          <w:p>
            <w:pPr>
              <w:pStyle w:val="Normal"/>
              <w:rPr/>
            </w:pPr>
            <w:r>
              <w:rPr/>
              <w:t>11.74%</w:t>
            </w:r>
          </w:p>
        </w:tc>
        <w:tc>
          <w:tcPr>
            <w:tcW w:w="2394" w:type="dxa"/>
            <w:tcBorders>
              <w:top w:val="single" w:sz="4" w:space="0" w:color="000000"/>
              <w:start w:val="single" w:sz="4" w:space="0" w:color="000000"/>
              <w:bottom w:val="single" w:sz="4" w:space="0" w:color="000000"/>
              <w:end w:val="single" w:sz="4" w:space="0" w:color="000000"/>
            </w:tcBorders>
          </w:tcPr>
          <w:p>
            <w:pPr>
              <w:pStyle w:val="Normal"/>
              <w:jc w:val="center"/>
              <w:rPr/>
            </w:pPr>
            <w:r>
              <w:rPr/>
              <w:t>4,305</w:t>
            </w:r>
          </w:p>
        </w:tc>
        <w:tc>
          <w:tcPr>
            <w:tcW w:w="2394" w:type="dxa"/>
            <w:tcBorders>
              <w:top w:val="single" w:sz="4" w:space="0" w:color="000000"/>
              <w:start w:val="single" w:sz="4" w:space="0" w:color="000000"/>
              <w:bottom w:val="single" w:sz="4" w:space="0" w:color="000000"/>
              <w:end w:val="single" w:sz="4" w:space="0" w:color="000000"/>
            </w:tcBorders>
          </w:tcPr>
          <w:p>
            <w:pPr>
              <w:pStyle w:val="Normal"/>
              <w:jc w:val="center"/>
              <w:rPr/>
            </w:pPr>
            <w:r>
              <w:rPr/>
              <w:t>4,049</w:t>
            </w:r>
          </w:p>
        </w:tc>
        <w:tc>
          <w:tcPr>
            <w:tcW w:w="2394" w:type="dxa"/>
            <w:tcBorders>
              <w:top w:val="single" w:sz="4" w:space="0" w:color="000000"/>
              <w:start w:val="single" w:sz="4" w:space="0" w:color="000000"/>
              <w:bottom w:val="single" w:sz="4" w:space="0" w:color="000000"/>
              <w:end w:val="single" w:sz="4" w:space="0" w:color="000000"/>
            </w:tcBorders>
          </w:tcPr>
          <w:p>
            <w:pPr>
              <w:pStyle w:val="Normal"/>
              <w:jc w:val="center"/>
              <w:rPr/>
            </w:pPr>
            <w:r>
              <w:rPr/>
              <w:t>4,248</w:t>
            </w:r>
          </w:p>
        </w:tc>
      </w:tr>
      <w:tr>
        <w:trPr/>
        <w:tc>
          <w:tcPr>
            <w:tcW w:w="2394" w:type="dxa"/>
            <w:tcBorders>
              <w:top w:val="single" w:sz="4" w:space="0" w:color="000000"/>
              <w:start w:val="single" w:sz="4" w:space="0" w:color="000000"/>
              <w:bottom w:val="single" w:sz="4" w:space="0" w:color="000000"/>
              <w:end w:val="single" w:sz="4" w:space="0" w:color="000000"/>
            </w:tcBorders>
          </w:tcPr>
          <w:p>
            <w:pPr>
              <w:pStyle w:val="Normal"/>
              <w:rPr/>
            </w:pPr>
            <w:r>
              <w:rPr/>
              <w:t>12.74%</w:t>
            </w:r>
          </w:p>
        </w:tc>
        <w:tc>
          <w:tcPr>
            <w:tcW w:w="2394" w:type="dxa"/>
            <w:tcBorders>
              <w:top w:val="single" w:sz="4" w:space="0" w:color="000000"/>
              <w:start w:val="single" w:sz="4" w:space="0" w:color="000000"/>
              <w:bottom w:val="single" w:sz="4" w:space="0" w:color="000000"/>
              <w:end w:val="single" w:sz="4" w:space="0" w:color="000000"/>
            </w:tcBorders>
          </w:tcPr>
          <w:p>
            <w:pPr>
              <w:pStyle w:val="Normal"/>
              <w:jc w:val="center"/>
              <w:rPr/>
            </w:pPr>
            <w:r>
              <w:rPr/>
              <w:t>3,870</w:t>
            </w:r>
          </w:p>
        </w:tc>
        <w:tc>
          <w:tcPr>
            <w:tcW w:w="2394" w:type="dxa"/>
            <w:tcBorders>
              <w:top w:val="single" w:sz="4" w:space="0" w:color="000000"/>
              <w:start w:val="single" w:sz="4" w:space="0" w:color="000000"/>
              <w:bottom w:val="single" w:sz="4" w:space="0" w:color="000000"/>
              <w:end w:val="single" w:sz="4" w:space="0" w:color="000000"/>
            </w:tcBorders>
          </w:tcPr>
          <w:p>
            <w:pPr>
              <w:pStyle w:val="Normal"/>
              <w:jc w:val="center"/>
              <w:rPr/>
            </w:pPr>
            <w:r>
              <w:rPr/>
              <w:t>3,640</w:t>
            </w:r>
          </w:p>
        </w:tc>
        <w:tc>
          <w:tcPr>
            <w:tcW w:w="2394" w:type="dxa"/>
            <w:tcBorders>
              <w:top w:val="single" w:sz="4" w:space="0" w:color="000000"/>
              <w:start w:val="single" w:sz="4" w:space="0" w:color="000000"/>
              <w:bottom w:val="single" w:sz="4" w:space="0" w:color="000000"/>
              <w:end w:val="single" w:sz="4" w:space="0" w:color="000000"/>
            </w:tcBorders>
          </w:tcPr>
          <w:p>
            <w:pPr>
              <w:pStyle w:val="Normal"/>
              <w:jc w:val="center"/>
              <w:rPr/>
            </w:pPr>
            <w:r>
              <w:rPr/>
              <w:t>3,827</w:t>
            </w:r>
          </w:p>
        </w:tc>
      </w:tr>
    </w:tbl>
    <w:p>
      <w:pPr>
        <w:pStyle w:val="Normal"/>
        <w:rPr/>
      </w:pPr>
      <w:r>
        <w:rPr/>
        <w:t>* Assumes average year generation and a market price escalation of 3.5 percent</w:t>
      </w:r>
    </w:p>
    <w:p>
      <w:pPr>
        <w:pStyle w:val="BodyText"/>
        <w:rPr/>
      </w:pPr>
      <w:r>
        <w:rPr/>
      </w:r>
    </w:p>
    <w:p>
      <w:pPr>
        <w:pStyle w:val="BodyText"/>
        <w:rPr/>
      </w:pPr>
      <w:r>
        <w:rPr/>
      </w:r>
    </w:p>
    <w:p>
      <w:pPr>
        <w:pStyle w:val="BodyText"/>
        <w:rPr/>
      </w:pPr>
      <w:r>
        <w:rPr/>
      </w:r>
    </w:p>
    <w:p>
      <w:pPr>
        <w:pStyle w:val="BodyText"/>
        <w:rPr/>
      </w:pPr>
      <w:r>
        <w:rPr/>
      </w:r>
    </w:p>
    <w:p>
      <w:pPr>
        <w:pStyle w:val="Heading4"/>
        <w:ind w:hanging="0" w:start="0"/>
        <w:rPr/>
      </w:pPr>
      <w:r>
        <w:rPr/>
      </w:r>
    </w:p>
    <w:p>
      <w:pPr>
        <w:pStyle w:val="Heading4"/>
        <w:ind w:hanging="0" w:start="0"/>
        <w:rPr/>
      </w:pPr>
      <w:r>
        <w:rPr/>
        <w:t>V.</w:t>
        <w:tab/>
        <w:t>Information from Other Sales</w:t>
      </w:r>
    </w:p>
    <w:p>
      <w:pPr>
        <w:pStyle w:val="BodyText"/>
        <w:rPr/>
      </w:pPr>
      <w:r>
        <w:rPr/>
      </w:r>
    </w:p>
    <w:p>
      <w:pPr>
        <w:pStyle w:val="BodyText"/>
        <w:rPr/>
      </w:pPr>
      <w:r>
        <w:rPr/>
        <w:t>Yet another way to value PG&amp;E’s hydroelectric assets is to use information from comparable sales. This does not, however, lead to valuations that are substantially above those discussed above, with the possible exception of the $998/kW paid for the 80 MW of Bangor hydroelectric asset.  Using this figure would result in a valuation of $3.882 billion. Other potential valuations, based upon recent hydroelectric sales, are shown in the table below.</w:t>
      </w:r>
    </w:p>
    <w:p>
      <w:pPr>
        <w:pStyle w:val="BodyText"/>
        <w:rPr>
          <w:b/>
        </w:rPr>
      </w:pPr>
      <w:r>
        <w:rPr>
          <w:b/>
        </w:rPr>
      </w:r>
    </w:p>
    <w:p>
      <w:pPr>
        <w:pStyle w:val="BodyText"/>
        <w:jc w:val="center"/>
        <w:rPr>
          <w:b/>
        </w:rPr>
      </w:pPr>
      <w:r>
        <w:rPr>
          <w:b/>
        </w:rPr>
        <w:t>Table 7.  Comparable Sales</w:t>
      </w:r>
    </w:p>
    <w:p>
      <w:pPr>
        <w:pStyle w:val="BodyText"/>
        <w:rPr>
          <w:b/>
        </w:rPr>
      </w:pPr>
      <w:r>
        <w:rPr>
          <w:b/>
        </w:rPr>
      </w:r>
    </w:p>
    <w:tbl>
      <w:tblPr>
        <w:tblW w:w="9288" w:type="dxa"/>
        <w:jc w:val="start"/>
        <w:tblInd w:w="0" w:type="dxa"/>
        <w:tblLayout w:type="fixed"/>
        <w:tblCellMar>
          <w:top w:w="0" w:type="dxa"/>
          <w:start w:w="108" w:type="dxa"/>
          <w:bottom w:w="0" w:type="dxa"/>
          <w:end w:w="108" w:type="dxa"/>
        </w:tblCellMar>
      </w:tblPr>
      <w:tblGrid>
        <w:gridCol w:w="3168"/>
        <w:gridCol w:w="2040"/>
        <w:gridCol w:w="2040"/>
        <w:gridCol w:w="2040"/>
      </w:tblGrid>
      <w:tr>
        <w:trPr/>
        <w:tc>
          <w:tcPr>
            <w:tcW w:w="3168" w:type="dxa"/>
            <w:tcBorders>
              <w:top w:val="single" w:sz="4" w:space="0" w:color="000000"/>
              <w:start w:val="single" w:sz="4" w:space="0" w:color="000000"/>
              <w:bottom w:val="single" w:sz="4" w:space="0" w:color="000000"/>
              <w:end w:val="single" w:sz="4" w:space="0" w:color="000000"/>
            </w:tcBorders>
          </w:tcPr>
          <w:p>
            <w:pPr>
              <w:pStyle w:val="BodyText"/>
              <w:snapToGrid w:val="false"/>
              <w:jc w:val="center"/>
              <w:rPr>
                <w:b/>
              </w:rPr>
            </w:pPr>
            <w:r>
              <w:rPr>
                <w:b/>
              </w:rPr>
            </w:r>
          </w:p>
          <w:p>
            <w:pPr>
              <w:pStyle w:val="BodyText"/>
              <w:jc w:val="center"/>
              <w:rPr>
                <w:b/>
              </w:rPr>
            </w:pPr>
            <w:r>
              <w:rPr>
                <w:b/>
              </w:rPr>
              <w:t>Entity</w:t>
            </w:r>
          </w:p>
        </w:tc>
        <w:tc>
          <w:tcPr>
            <w:tcW w:w="2040" w:type="dxa"/>
            <w:tcBorders>
              <w:top w:val="single" w:sz="4" w:space="0" w:color="000000"/>
              <w:start w:val="single" w:sz="4" w:space="0" w:color="000000"/>
              <w:bottom w:val="single" w:sz="4" w:space="0" w:color="000000"/>
              <w:end w:val="single" w:sz="4" w:space="0" w:color="000000"/>
            </w:tcBorders>
          </w:tcPr>
          <w:p>
            <w:pPr>
              <w:pStyle w:val="BodyText"/>
              <w:jc w:val="center"/>
              <w:rPr>
                <w:b/>
              </w:rPr>
            </w:pPr>
            <w:r>
              <w:rPr>
                <w:b/>
              </w:rPr>
              <w:t>Price Paid (millions)</w:t>
            </w:r>
          </w:p>
        </w:tc>
        <w:tc>
          <w:tcPr>
            <w:tcW w:w="2040" w:type="dxa"/>
            <w:tcBorders>
              <w:top w:val="single" w:sz="4" w:space="0" w:color="000000"/>
              <w:start w:val="single" w:sz="4" w:space="0" w:color="000000"/>
              <w:bottom w:val="single" w:sz="4" w:space="0" w:color="000000"/>
              <w:end w:val="single" w:sz="4" w:space="0" w:color="000000"/>
            </w:tcBorders>
          </w:tcPr>
          <w:p>
            <w:pPr>
              <w:pStyle w:val="BodyText"/>
              <w:snapToGrid w:val="false"/>
              <w:jc w:val="center"/>
              <w:rPr>
                <w:b/>
              </w:rPr>
            </w:pPr>
            <w:r>
              <w:rPr>
                <w:b/>
              </w:rPr>
            </w:r>
          </w:p>
          <w:p>
            <w:pPr>
              <w:pStyle w:val="BodyText"/>
              <w:jc w:val="center"/>
              <w:rPr>
                <w:b/>
              </w:rPr>
            </w:pPr>
            <w:r>
              <w:rPr>
                <w:b/>
              </w:rPr>
              <w:t>MW</w:t>
            </w:r>
          </w:p>
        </w:tc>
        <w:tc>
          <w:tcPr>
            <w:tcW w:w="2040" w:type="dxa"/>
            <w:tcBorders>
              <w:top w:val="single" w:sz="4" w:space="0" w:color="000000"/>
              <w:start w:val="single" w:sz="4" w:space="0" w:color="000000"/>
              <w:bottom w:val="single" w:sz="4" w:space="0" w:color="000000"/>
              <w:end w:val="single" w:sz="4" w:space="0" w:color="000000"/>
            </w:tcBorders>
          </w:tcPr>
          <w:p>
            <w:pPr>
              <w:pStyle w:val="BodyText"/>
              <w:snapToGrid w:val="false"/>
              <w:jc w:val="center"/>
              <w:rPr>
                <w:b/>
              </w:rPr>
            </w:pPr>
            <w:r>
              <w:rPr>
                <w:b/>
              </w:rPr>
            </w:r>
          </w:p>
          <w:p>
            <w:pPr>
              <w:pStyle w:val="BodyText"/>
              <w:jc w:val="center"/>
              <w:rPr>
                <w:b/>
              </w:rPr>
            </w:pPr>
            <w:r>
              <w:rPr>
                <w:b/>
              </w:rPr>
              <w:t>$/kW</w:t>
            </w:r>
          </w:p>
        </w:tc>
      </w:tr>
      <w:tr>
        <w:trPr/>
        <w:tc>
          <w:tcPr>
            <w:tcW w:w="3168" w:type="dxa"/>
            <w:tcBorders>
              <w:top w:val="single" w:sz="4" w:space="0" w:color="000000"/>
              <w:start w:val="single" w:sz="4" w:space="0" w:color="000000"/>
              <w:bottom w:val="single" w:sz="4" w:space="0" w:color="000000"/>
              <w:end w:val="single" w:sz="4" w:space="0" w:color="000000"/>
            </w:tcBorders>
          </w:tcPr>
          <w:p>
            <w:pPr>
              <w:pStyle w:val="BodyText"/>
              <w:rPr/>
            </w:pPr>
            <w:r>
              <w:rPr/>
              <w:t>Niagra-Mohawk</w:t>
            </w:r>
          </w:p>
        </w:tc>
        <w:tc>
          <w:tcPr>
            <w:tcW w:w="2040" w:type="dxa"/>
            <w:tcBorders>
              <w:top w:val="single" w:sz="4" w:space="0" w:color="000000"/>
              <w:start w:val="single" w:sz="4" w:space="0" w:color="000000"/>
              <w:bottom w:val="single" w:sz="4" w:space="0" w:color="000000"/>
              <w:end w:val="single" w:sz="4" w:space="0" w:color="000000"/>
            </w:tcBorders>
          </w:tcPr>
          <w:p>
            <w:pPr>
              <w:pStyle w:val="BodyText"/>
              <w:jc w:val="center"/>
              <w:rPr/>
            </w:pPr>
            <w:r>
              <w:rPr/>
              <w:t>425</w:t>
            </w:r>
          </w:p>
        </w:tc>
        <w:tc>
          <w:tcPr>
            <w:tcW w:w="2040" w:type="dxa"/>
            <w:tcBorders>
              <w:top w:val="single" w:sz="4" w:space="0" w:color="000000"/>
              <w:start w:val="single" w:sz="4" w:space="0" w:color="000000"/>
              <w:bottom w:val="single" w:sz="4" w:space="0" w:color="000000"/>
              <w:end w:val="single" w:sz="4" w:space="0" w:color="000000"/>
            </w:tcBorders>
          </w:tcPr>
          <w:p>
            <w:pPr>
              <w:pStyle w:val="BodyText"/>
              <w:jc w:val="center"/>
              <w:rPr/>
            </w:pPr>
            <w:r>
              <w:rPr/>
              <w:t>661</w:t>
            </w:r>
          </w:p>
        </w:tc>
        <w:tc>
          <w:tcPr>
            <w:tcW w:w="2040" w:type="dxa"/>
            <w:tcBorders>
              <w:top w:val="single" w:sz="4" w:space="0" w:color="000000"/>
              <w:start w:val="single" w:sz="4" w:space="0" w:color="000000"/>
              <w:bottom w:val="single" w:sz="4" w:space="0" w:color="000000"/>
              <w:end w:val="single" w:sz="4" w:space="0" w:color="000000"/>
            </w:tcBorders>
          </w:tcPr>
          <w:p>
            <w:pPr>
              <w:pStyle w:val="BodyText"/>
              <w:jc w:val="center"/>
              <w:rPr/>
            </w:pPr>
            <w:r>
              <w:rPr/>
              <w:t>643</w:t>
            </w:r>
          </w:p>
        </w:tc>
      </w:tr>
      <w:tr>
        <w:trPr/>
        <w:tc>
          <w:tcPr>
            <w:tcW w:w="3168" w:type="dxa"/>
            <w:tcBorders>
              <w:top w:val="single" w:sz="4" w:space="0" w:color="000000"/>
              <w:start w:val="single" w:sz="4" w:space="0" w:color="000000"/>
              <w:bottom w:val="single" w:sz="4" w:space="0" w:color="000000"/>
              <w:end w:val="single" w:sz="4" w:space="0" w:color="000000"/>
            </w:tcBorders>
          </w:tcPr>
          <w:p>
            <w:pPr>
              <w:pStyle w:val="BodyText"/>
              <w:rPr/>
            </w:pPr>
            <w:r>
              <w:rPr/>
              <w:t>Connecticut Light &amp; Power</w:t>
            </w:r>
          </w:p>
        </w:tc>
        <w:tc>
          <w:tcPr>
            <w:tcW w:w="2040" w:type="dxa"/>
            <w:tcBorders>
              <w:top w:val="single" w:sz="4" w:space="0" w:color="000000"/>
              <w:start w:val="single" w:sz="4" w:space="0" w:color="000000"/>
              <w:bottom w:val="single" w:sz="4" w:space="0" w:color="000000"/>
              <w:end w:val="single" w:sz="4" w:space="0" w:color="000000"/>
            </w:tcBorders>
          </w:tcPr>
          <w:p>
            <w:pPr>
              <w:pStyle w:val="BodyText"/>
              <w:jc w:val="center"/>
              <w:rPr/>
            </w:pPr>
            <w:r>
              <w:rPr/>
              <w:t>866</w:t>
            </w:r>
          </w:p>
        </w:tc>
        <w:tc>
          <w:tcPr>
            <w:tcW w:w="2040" w:type="dxa"/>
            <w:tcBorders>
              <w:top w:val="single" w:sz="4" w:space="0" w:color="000000"/>
              <w:start w:val="single" w:sz="4" w:space="0" w:color="000000"/>
              <w:bottom w:val="single" w:sz="4" w:space="0" w:color="000000"/>
              <w:end w:val="single" w:sz="4" w:space="0" w:color="000000"/>
            </w:tcBorders>
          </w:tcPr>
          <w:p>
            <w:pPr>
              <w:pStyle w:val="BodyText"/>
              <w:jc w:val="center"/>
              <w:rPr/>
            </w:pPr>
            <w:r>
              <w:rPr/>
              <w:t>1329</w:t>
            </w:r>
          </w:p>
        </w:tc>
        <w:tc>
          <w:tcPr>
            <w:tcW w:w="2040" w:type="dxa"/>
            <w:tcBorders>
              <w:top w:val="single" w:sz="4" w:space="0" w:color="000000"/>
              <w:start w:val="single" w:sz="4" w:space="0" w:color="000000"/>
              <w:bottom w:val="single" w:sz="4" w:space="0" w:color="000000"/>
              <w:end w:val="single" w:sz="4" w:space="0" w:color="000000"/>
            </w:tcBorders>
          </w:tcPr>
          <w:p>
            <w:pPr>
              <w:pStyle w:val="BodyText"/>
              <w:jc w:val="center"/>
              <w:rPr/>
            </w:pPr>
            <w:r>
              <w:rPr/>
              <w:t>652</w:t>
            </w:r>
          </w:p>
        </w:tc>
      </w:tr>
      <w:tr>
        <w:trPr/>
        <w:tc>
          <w:tcPr>
            <w:tcW w:w="3168" w:type="dxa"/>
            <w:tcBorders>
              <w:top w:val="single" w:sz="4" w:space="0" w:color="000000"/>
              <w:start w:val="single" w:sz="4" w:space="0" w:color="000000"/>
              <w:bottom w:val="single" w:sz="4" w:space="0" w:color="000000"/>
              <w:end w:val="single" w:sz="4" w:space="0" w:color="000000"/>
            </w:tcBorders>
          </w:tcPr>
          <w:p>
            <w:pPr>
              <w:pStyle w:val="BodyText"/>
              <w:rPr/>
            </w:pPr>
            <w:r>
              <w:rPr/>
              <w:t>Central Maine</w:t>
            </w:r>
          </w:p>
        </w:tc>
        <w:tc>
          <w:tcPr>
            <w:tcW w:w="2040" w:type="dxa"/>
            <w:tcBorders>
              <w:top w:val="single" w:sz="4" w:space="0" w:color="000000"/>
              <w:start w:val="single" w:sz="4" w:space="0" w:color="000000"/>
              <w:bottom w:val="single" w:sz="4" w:space="0" w:color="000000"/>
              <w:end w:val="single" w:sz="4" w:space="0" w:color="000000"/>
            </w:tcBorders>
          </w:tcPr>
          <w:p>
            <w:pPr>
              <w:pStyle w:val="BodyText"/>
              <w:jc w:val="center"/>
              <w:rPr/>
            </w:pPr>
            <w:r>
              <w:rPr/>
              <w:t>320</w:t>
            </w:r>
          </w:p>
        </w:tc>
        <w:tc>
          <w:tcPr>
            <w:tcW w:w="2040" w:type="dxa"/>
            <w:tcBorders>
              <w:top w:val="single" w:sz="4" w:space="0" w:color="000000"/>
              <w:start w:val="single" w:sz="4" w:space="0" w:color="000000"/>
              <w:bottom w:val="single" w:sz="4" w:space="0" w:color="000000"/>
              <w:end w:val="single" w:sz="4" w:space="0" w:color="000000"/>
            </w:tcBorders>
          </w:tcPr>
          <w:p>
            <w:pPr>
              <w:pStyle w:val="BodyText"/>
              <w:jc w:val="center"/>
              <w:rPr/>
            </w:pPr>
            <w:r>
              <w:rPr/>
              <w:t>373</w:t>
            </w:r>
          </w:p>
        </w:tc>
        <w:tc>
          <w:tcPr>
            <w:tcW w:w="2040" w:type="dxa"/>
            <w:tcBorders>
              <w:top w:val="single" w:sz="4" w:space="0" w:color="000000"/>
              <w:start w:val="single" w:sz="4" w:space="0" w:color="000000"/>
              <w:bottom w:val="single" w:sz="4" w:space="0" w:color="000000"/>
              <w:end w:val="single" w:sz="4" w:space="0" w:color="000000"/>
            </w:tcBorders>
          </w:tcPr>
          <w:p>
            <w:pPr>
              <w:pStyle w:val="BodyText"/>
              <w:jc w:val="center"/>
              <w:rPr/>
            </w:pPr>
            <w:r>
              <w:rPr/>
              <w:t>857</w:t>
            </w:r>
          </w:p>
        </w:tc>
      </w:tr>
      <w:tr>
        <w:trPr/>
        <w:tc>
          <w:tcPr>
            <w:tcW w:w="3168" w:type="dxa"/>
            <w:tcBorders>
              <w:top w:val="single" w:sz="4" w:space="0" w:color="000000"/>
              <w:start w:val="single" w:sz="4" w:space="0" w:color="000000"/>
              <w:bottom w:val="single" w:sz="4" w:space="0" w:color="000000"/>
              <w:end w:val="single" w:sz="4" w:space="0" w:color="000000"/>
            </w:tcBorders>
          </w:tcPr>
          <w:p>
            <w:pPr>
              <w:pStyle w:val="BodyText"/>
              <w:rPr/>
            </w:pPr>
            <w:r>
              <w:rPr/>
              <w:t>Montana Power</w:t>
            </w:r>
          </w:p>
        </w:tc>
        <w:tc>
          <w:tcPr>
            <w:tcW w:w="2040" w:type="dxa"/>
            <w:tcBorders>
              <w:top w:val="single" w:sz="4" w:space="0" w:color="000000"/>
              <w:start w:val="single" w:sz="4" w:space="0" w:color="000000"/>
              <w:bottom w:val="single" w:sz="4" w:space="0" w:color="000000"/>
              <w:end w:val="single" w:sz="4" w:space="0" w:color="000000"/>
            </w:tcBorders>
          </w:tcPr>
          <w:p>
            <w:pPr>
              <w:pStyle w:val="BodyText"/>
              <w:jc w:val="center"/>
              <w:rPr/>
            </w:pPr>
            <w:r>
              <w:rPr/>
              <w:t>331</w:t>
            </w:r>
          </w:p>
        </w:tc>
        <w:tc>
          <w:tcPr>
            <w:tcW w:w="2040" w:type="dxa"/>
            <w:tcBorders>
              <w:top w:val="single" w:sz="4" w:space="0" w:color="000000"/>
              <w:start w:val="single" w:sz="4" w:space="0" w:color="000000"/>
              <w:bottom w:val="single" w:sz="4" w:space="0" w:color="000000"/>
              <w:end w:val="single" w:sz="4" w:space="0" w:color="000000"/>
            </w:tcBorders>
          </w:tcPr>
          <w:p>
            <w:pPr>
              <w:pStyle w:val="BodyText"/>
              <w:jc w:val="center"/>
              <w:rPr/>
            </w:pPr>
            <w:r>
              <w:rPr/>
              <w:t>577</w:t>
            </w:r>
          </w:p>
        </w:tc>
        <w:tc>
          <w:tcPr>
            <w:tcW w:w="2040" w:type="dxa"/>
            <w:tcBorders>
              <w:top w:val="single" w:sz="4" w:space="0" w:color="000000"/>
              <w:start w:val="single" w:sz="4" w:space="0" w:color="000000"/>
              <w:bottom w:val="single" w:sz="4" w:space="0" w:color="000000"/>
              <w:end w:val="single" w:sz="4" w:space="0" w:color="000000"/>
            </w:tcBorders>
          </w:tcPr>
          <w:p>
            <w:pPr>
              <w:pStyle w:val="BodyText"/>
              <w:jc w:val="center"/>
              <w:rPr/>
            </w:pPr>
            <w:r>
              <w:rPr/>
              <w:t>574</w:t>
            </w:r>
          </w:p>
        </w:tc>
      </w:tr>
    </w:tbl>
    <w:p>
      <w:pPr>
        <w:pStyle w:val="BodyText"/>
        <w:rPr/>
      </w:pPr>
      <w:r>
        <w:rPr/>
        <w:t xml:space="preserve">Source: SCE, A. 99-12-024.  </w:t>
      </w:r>
    </w:p>
    <w:p>
      <w:pPr>
        <w:pStyle w:val="BodyText"/>
        <w:rPr/>
      </w:pPr>
      <w:r>
        <w:rPr/>
      </w:r>
    </w:p>
    <w:p>
      <w:pPr>
        <w:pStyle w:val="BodyText"/>
        <w:rPr>
          <w:b/>
        </w:rPr>
      </w:pPr>
      <w:r>
        <w:rPr>
          <w:b/>
        </w:rPr>
        <w:t>VI.</w:t>
        <w:tab/>
        <w:t>ORA’s Estimate in the Annual Transition Cost Proceeding</w:t>
      </w:r>
    </w:p>
    <w:p>
      <w:pPr>
        <w:pStyle w:val="BodyText"/>
        <w:rPr>
          <w:b/>
        </w:rPr>
      </w:pPr>
      <w:r>
        <w:rPr>
          <w:b/>
        </w:rPr>
      </w:r>
    </w:p>
    <w:p>
      <w:pPr>
        <w:pStyle w:val="BodyText"/>
        <w:rPr/>
      </w:pPr>
      <w:r>
        <w:rPr/>
        <w:t>Finally, in PG&amp;E’s annual transition cost proceeding, ORA recommended a conservative estimate of PG&amp;E’s hydroelectric assets of $2 billion.  ORA’s estimate is indeed conservative and is substantially less than would result from other, more commonly accepted valuation methods, such as a cash flow analysis or the use of comparables.</w:t>
      </w:r>
    </w:p>
    <w:p>
      <w:pPr>
        <w:pStyle w:val="BodyText"/>
        <w:rPr/>
      </w:pPr>
      <w:r>
        <w:rPr/>
      </w:r>
    </w:p>
    <w:p>
      <w:pPr>
        <w:pStyle w:val="Heading4"/>
        <w:numPr>
          <w:ilvl w:val="0"/>
          <w:numId w:val="6"/>
        </w:numPr>
        <w:rPr/>
      </w:pPr>
      <w:r>
        <w:rPr/>
        <w:t>Preliminary Summary and Conclusions</w:t>
      </w:r>
    </w:p>
    <w:p>
      <w:pPr>
        <w:pStyle w:val="Normal"/>
        <w:rPr/>
      </w:pPr>
      <w:r>
        <w:rPr/>
      </w:r>
    </w:p>
    <w:p>
      <w:pPr>
        <w:pStyle w:val="BodyText"/>
        <w:rPr/>
      </w:pPr>
      <w:r>
        <w:rPr/>
        <w:t xml:space="preserve">Table 8 summarizes our preliminary findings regarding the potential range of values for PG&amp;E’s hydroelectric assets. In addition, our preliminary conclusions and important caveats are discussed below: </w:t>
      </w:r>
    </w:p>
    <w:p>
      <w:pPr>
        <w:pStyle w:val="BodyText"/>
        <w:rPr/>
      </w:pPr>
      <w:r>
        <w:rPr/>
      </w:r>
    </w:p>
    <w:p>
      <w:pPr>
        <w:pStyle w:val="BodyText"/>
        <w:numPr>
          <w:ilvl w:val="0"/>
          <w:numId w:val="5"/>
        </w:numPr>
        <w:rPr/>
      </w:pPr>
      <w:r>
        <w:rPr/>
        <w:t>The cash flow analysis appears to produce a higher valuation than the other methods.</w:t>
      </w:r>
    </w:p>
    <w:p>
      <w:pPr>
        <w:pStyle w:val="BodyText"/>
        <w:numPr>
          <w:ilvl w:val="0"/>
          <w:numId w:val="7"/>
        </w:numPr>
        <w:rPr/>
      </w:pPr>
      <w:r>
        <w:rPr/>
        <w:t>The results of the cash flow analysis are obviously sensitive to the price of power going forward.</w:t>
      </w:r>
    </w:p>
    <w:p>
      <w:pPr>
        <w:pStyle w:val="BodyText"/>
        <w:numPr>
          <w:ilvl w:val="0"/>
          <w:numId w:val="4"/>
        </w:numPr>
        <w:rPr/>
      </w:pPr>
      <w:r>
        <w:rPr/>
        <w:t>Consistent with the SCE analysis, we increased O&amp;M and capital additions costs by only 0.9% annually (2.5% inflation less a 1.6% productivity factor).  Such modest increases in these costs may be too aggressive an assumption for PG&amp;E.</w:t>
      </w:r>
    </w:p>
    <w:p>
      <w:pPr>
        <w:pStyle w:val="BodyText"/>
        <w:numPr>
          <w:ilvl w:val="0"/>
          <w:numId w:val="7"/>
        </w:numPr>
        <w:rPr/>
      </w:pPr>
      <w:r>
        <w:rPr/>
        <w:t>We determined a capital additions cost estimate for PG&amp;E by scaling SCE’s capital additions costs.  PG&amp;E’s costs may in fact be higher or lower.</w:t>
      </w:r>
    </w:p>
    <w:p>
      <w:pPr>
        <w:pStyle w:val="BodyText"/>
        <w:numPr>
          <w:ilvl w:val="0"/>
          <w:numId w:val="7"/>
        </w:numPr>
        <w:rPr/>
      </w:pPr>
      <w:r>
        <w:rPr/>
        <w:t>We assumed that the value of the Helms Pumped Storage facility is the same as PG&amp;E’s other hydro plants on a dollar-per-kW basis.  This may be conservative.</w:t>
      </w:r>
    </w:p>
    <w:p>
      <w:pPr>
        <w:pStyle w:val="BodyText"/>
        <w:numPr>
          <w:ilvl w:val="0"/>
          <w:numId w:val="7"/>
        </w:numPr>
        <w:rPr/>
      </w:pPr>
      <w:r>
        <w:rPr/>
        <w:t>We did not attempt to estimate the value of ancillary service revenues for any of PG&amp;E’s hydro plants.</w:t>
      </w:r>
    </w:p>
    <w:p>
      <w:pPr>
        <w:pStyle w:val="BodyText"/>
        <w:numPr>
          <w:ilvl w:val="0"/>
          <w:numId w:val="7"/>
        </w:numPr>
        <w:rPr/>
      </w:pPr>
      <w:r>
        <w:rPr/>
        <w:t xml:space="preserve">We did not take into account any possible derating of PG&amp;E’s hydro plants due to environmental concerns. </w:t>
      </w:r>
    </w:p>
    <w:p>
      <w:pPr>
        <w:pStyle w:val="BodyText"/>
        <w:rPr/>
      </w:pPr>
      <w:r>
        <w:rPr/>
      </w:r>
    </w:p>
    <w:p>
      <w:pPr>
        <w:pStyle w:val="BodyText"/>
        <w:rPr/>
      </w:pPr>
      <w:r>
        <w:rPr/>
        <w:t>If you have any further questions or comments, please do not hesitate to call.</w:t>
      </w:r>
    </w:p>
    <w:p>
      <w:pPr>
        <w:pStyle w:val="Normal"/>
        <w:rPr/>
      </w:pPr>
      <w:r>
        <w:rPr/>
      </w:r>
    </w:p>
    <w:p>
      <w:pPr>
        <w:pStyle w:val="Normal"/>
        <w:rPr/>
      </w:pPr>
      <w:r>
        <w:rPr/>
      </w:r>
    </w:p>
    <w:p>
      <w:pPr>
        <w:pStyle w:val="Normal"/>
        <w:rPr/>
      </w:pPr>
      <w:r>
        <w:rPr/>
      </w:r>
    </w:p>
    <w:p>
      <w:pPr>
        <w:pStyle w:val="Heading1"/>
        <w:tabs>
          <w:tab w:val="clear" w:pos="4680"/>
        </w:tabs>
        <w:ind w:hanging="0" w:start="0"/>
        <w:rPr/>
      </w:pPr>
      <w:r>
        <w:rPr/>
        <w:t>Table 8.  Summary of Estimated Values for PG&amp;E’s Hydroelectric Assets</w:t>
      </w:r>
    </w:p>
    <w:p>
      <w:pPr>
        <w:pStyle w:val="Normal"/>
        <w:rPr/>
      </w:pPr>
      <w:r>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Source</w:t>
            </w:r>
          </w:p>
        </w:tc>
        <w:tc>
          <w:tcPr>
            <w:tcW w:w="4788"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Value</w:t>
            </w:r>
          </w:p>
        </w:tc>
      </w:tr>
      <w:tr>
        <w:trPr/>
        <w:tc>
          <w:tcPr>
            <w:tcW w:w="4788" w:type="dxa"/>
            <w:tcBorders>
              <w:top w:val="single" w:sz="4" w:space="0" w:color="000000"/>
              <w:start w:val="single" w:sz="4" w:space="0" w:color="000000"/>
              <w:bottom w:val="single" w:sz="4" w:space="0" w:color="000000"/>
              <w:end w:val="single" w:sz="4" w:space="0" w:color="000000"/>
            </w:tcBorders>
          </w:tcPr>
          <w:p>
            <w:pPr>
              <w:pStyle w:val="Normal"/>
              <w:rPr/>
            </w:pPr>
            <w:r>
              <w:rPr/>
              <w:t>PG&amp;E Value (Including Contract Capacity)</w:t>
            </w:r>
          </w:p>
        </w:tc>
        <w:tc>
          <w:tcPr>
            <w:tcW w:w="4788" w:type="dxa"/>
            <w:tcBorders>
              <w:top w:val="single" w:sz="4" w:space="0" w:color="000000"/>
              <w:start w:val="single" w:sz="4" w:space="0" w:color="000000"/>
              <w:bottom w:val="single" w:sz="4" w:space="0" w:color="000000"/>
              <w:end w:val="single" w:sz="4" w:space="0" w:color="000000"/>
            </w:tcBorders>
          </w:tcPr>
          <w:p>
            <w:pPr>
              <w:pStyle w:val="Normal"/>
              <w:jc w:val="end"/>
              <w:rPr/>
            </w:pPr>
            <w:r>
              <w:rPr/>
              <w:t>$3.33 billion</w:t>
            </w:r>
          </w:p>
        </w:tc>
      </w:tr>
      <w:tr>
        <w:trPr/>
        <w:tc>
          <w:tcPr>
            <w:tcW w:w="4788" w:type="dxa"/>
            <w:tcBorders>
              <w:top w:val="single" w:sz="4" w:space="0" w:color="000000"/>
              <w:start w:val="single" w:sz="4" w:space="0" w:color="000000"/>
              <w:bottom w:val="single" w:sz="4" w:space="0" w:color="000000"/>
              <w:end w:val="single" w:sz="4" w:space="0" w:color="000000"/>
            </w:tcBorders>
          </w:tcPr>
          <w:p>
            <w:pPr>
              <w:pStyle w:val="Normal"/>
              <w:rPr/>
            </w:pPr>
            <w:r>
              <w:rPr/>
              <w:t>PG&amp;E Value (Less Contract Capacity)</w:t>
            </w:r>
          </w:p>
        </w:tc>
        <w:tc>
          <w:tcPr>
            <w:tcW w:w="4788" w:type="dxa"/>
            <w:tcBorders>
              <w:top w:val="single" w:sz="4" w:space="0" w:color="000000"/>
              <w:start w:val="single" w:sz="4" w:space="0" w:color="000000"/>
              <w:bottom w:val="single" w:sz="4" w:space="0" w:color="000000"/>
              <w:end w:val="single" w:sz="4" w:space="0" w:color="000000"/>
            </w:tcBorders>
          </w:tcPr>
          <w:p>
            <w:pPr>
              <w:pStyle w:val="Normal"/>
              <w:jc w:val="end"/>
              <w:rPr/>
            </w:pPr>
            <w:r>
              <w:rPr/>
              <w:t>$2.85 billion</w:t>
            </w:r>
          </w:p>
        </w:tc>
      </w:tr>
      <w:tr>
        <w:trPr/>
        <w:tc>
          <w:tcPr>
            <w:tcW w:w="4788" w:type="dxa"/>
            <w:tcBorders>
              <w:top w:val="single" w:sz="4" w:space="0" w:color="000000"/>
              <w:start w:val="single" w:sz="4" w:space="0" w:color="000000"/>
              <w:bottom w:val="single" w:sz="4" w:space="0" w:color="000000"/>
              <w:end w:val="single" w:sz="4" w:space="0" w:color="000000"/>
            </w:tcBorders>
          </w:tcPr>
          <w:p>
            <w:pPr>
              <w:pStyle w:val="Footer"/>
              <w:tabs>
                <w:tab w:val="clear" w:pos="4320"/>
                <w:tab w:val="clear" w:pos="8640"/>
              </w:tabs>
              <w:rPr/>
            </w:pPr>
            <w:r>
              <w:rPr/>
              <w:t>ACWA</w:t>
            </w:r>
          </w:p>
        </w:tc>
        <w:tc>
          <w:tcPr>
            <w:tcW w:w="4788" w:type="dxa"/>
            <w:tcBorders>
              <w:top w:val="single" w:sz="4" w:space="0" w:color="000000"/>
              <w:start w:val="single" w:sz="4" w:space="0" w:color="000000"/>
              <w:bottom w:val="single" w:sz="4" w:space="0" w:color="000000"/>
              <w:end w:val="single" w:sz="4" w:space="0" w:color="000000"/>
            </w:tcBorders>
          </w:tcPr>
          <w:p>
            <w:pPr>
              <w:pStyle w:val="Normal"/>
              <w:jc w:val="end"/>
              <w:rPr/>
            </w:pPr>
            <w:r>
              <w:rPr/>
              <w:t>$3.14 - $4.34 billion</w:t>
            </w:r>
          </w:p>
        </w:tc>
      </w:tr>
      <w:tr>
        <w:trPr/>
        <w:tc>
          <w:tcPr>
            <w:tcW w:w="4788" w:type="dxa"/>
            <w:tcBorders>
              <w:top w:val="single" w:sz="4" w:space="0" w:color="000000"/>
              <w:start w:val="single" w:sz="4" w:space="0" w:color="000000"/>
              <w:bottom w:val="single" w:sz="4" w:space="0" w:color="000000"/>
              <w:end w:val="single" w:sz="4" w:space="0" w:color="000000"/>
            </w:tcBorders>
          </w:tcPr>
          <w:p>
            <w:pPr>
              <w:pStyle w:val="Normal"/>
              <w:rPr/>
            </w:pPr>
            <w:r>
              <w:rPr/>
              <w:t>SCE Valuation of $859/kW</w:t>
            </w:r>
          </w:p>
        </w:tc>
        <w:tc>
          <w:tcPr>
            <w:tcW w:w="4788" w:type="dxa"/>
            <w:tcBorders>
              <w:top w:val="single" w:sz="4" w:space="0" w:color="000000"/>
              <w:start w:val="single" w:sz="4" w:space="0" w:color="000000"/>
              <w:bottom w:val="single" w:sz="4" w:space="0" w:color="000000"/>
              <w:end w:val="single" w:sz="4" w:space="0" w:color="000000"/>
            </w:tcBorders>
          </w:tcPr>
          <w:p>
            <w:pPr>
              <w:pStyle w:val="Normal"/>
              <w:jc w:val="end"/>
              <w:rPr/>
            </w:pPr>
            <w:r>
              <w:rPr/>
              <w:t>$3.34 billion</w:t>
            </w:r>
          </w:p>
        </w:tc>
      </w:tr>
      <w:tr>
        <w:trPr/>
        <w:tc>
          <w:tcPr>
            <w:tcW w:w="4788" w:type="dxa"/>
            <w:tcBorders>
              <w:top w:val="single" w:sz="4" w:space="0" w:color="000000"/>
              <w:start w:val="single" w:sz="4" w:space="0" w:color="000000"/>
              <w:bottom w:val="single" w:sz="4" w:space="0" w:color="000000"/>
              <w:end w:val="single" w:sz="4" w:space="0" w:color="000000"/>
            </w:tcBorders>
          </w:tcPr>
          <w:p>
            <w:pPr>
              <w:pStyle w:val="Normal"/>
              <w:rPr/>
            </w:pPr>
            <w:r>
              <w:rPr/>
              <w:t>SCE Valuation of $859/kW with $250/kW Adjustment for Helms</w:t>
            </w:r>
          </w:p>
        </w:tc>
        <w:tc>
          <w:tcPr>
            <w:tcW w:w="4788" w:type="dxa"/>
            <w:tcBorders>
              <w:top w:val="single" w:sz="4" w:space="0" w:color="000000"/>
              <w:start w:val="single" w:sz="4" w:space="0" w:color="000000"/>
              <w:bottom w:val="single" w:sz="4" w:space="0" w:color="000000"/>
              <w:end w:val="single" w:sz="4" w:space="0" w:color="000000"/>
            </w:tcBorders>
          </w:tcPr>
          <w:p>
            <w:pPr>
              <w:pStyle w:val="Normal"/>
              <w:jc w:val="end"/>
              <w:rPr/>
            </w:pPr>
            <w:r>
              <w:rPr/>
              <w:t>$3.64 billion</w:t>
            </w:r>
          </w:p>
        </w:tc>
      </w:tr>
      <w:tr>
        <w:trPr/>
        <w:tc>
          <w:tcPr>
            <w:tcW w:w="4788" w:type="dxa"/>
            <w:tcBorders>
              <w:top w:val="single" w:sz="4" w:space="0" w:color="000000"/>
              <w:start w:val="single" w:sz="4" w:space="0" w:color="000000"/>
              <w:bottom w:val="single" w:sz="4" w:space="0" w:color="000000"/>
              <w:end w:val="single" w:sz="4" w:space="0" w:color="000000"/>
            </w:tcBorders>
          </w:tcPr>
          <w:p>
            <w:pPr>
              <w:pStyle w:val="Footer"/>
              <w:tabs>
                <w:tab w:val="clear" w:pos="4320"/>
                <w:tab w:val="clear" w:pos="8640"/>
              </w:tabs>
              <w:rPr/>
            </w:pPr>
            <w:r>
              <w:rPr/>
              <w:t>MRW Cash-Flow, Including Helms, CEC PX Price 2000 and 2001</w:t>
            </w:r>
          </w:p>
        </w:tc>
        <w:tc>
          <w:tcPr>
            <w:tcW w:w="4788" w:type="dxa"/>
            <w:tcBorders>
              <w:top w:val="single" w:sz="4" w:space="0" w:color="000000"/>
              <w:start w:val="single" w:sz="4" w:space="0" w:color="000000"/>
              <w:bottom w:val="single" w:sz="4" w:space="0" w:color="000000"/>
              <w:end w:val="single" w:sz="4" w:space="0" w:color="000000"/>
            </w:tcBorders>
          </w:tcPr>
          <w:p>
            <w:pPr>
              <w:pStyle w:val="Normal"/>
              <w:jc w:val="end"/>
              <w:rPr/>
            </w:pPr>
            <w:r>
              <w:rPr/>
              <w:t>$4.31 billion</w:t>
            </w:r>
          </w:p>
        </w:tc>
      </w:tr>
      <w:tr>
        <w:trPr/>
        <w:tc>
          <w:tcPr>
            <w:tcW w:w="4788" w:type="dxa"/>
            <w:tcBorders>
              <w:top w:val="single" w:sz="4" w:space="0" w:color="000000"/>
              <w:start w:val="single" w:sz="4" w:space="0" w:color="000000"/>
              <w:bottom w:val="single" w:sz="4" w:space="0" w:color="000000"/>
              <w:end w:val="single" w:sz="4" w:space="0" w:color="000000"/>
            </w:tcBorders>
          </w:tcPr>
          <w:p>
            <w:pPr>
              <w:pStyle w:val="Normal"/>
              <w:rPr/>
            </w:pPr>
            <w:r>
              <w:rPr/>
              <w:t>MRW Cash-Flow, Including Helms, SCE PX Price</w:t>
            </w:r>
          </w:p>
        </w:tc>
        <w:tc>
          <w:tcPr>
            <w:tcW w:w="4788" w:type="dxa"/>
            <w:tcBorders>
              <w:top w:val="single" w:sz="4" w:space="0" w:color="000000"/>
              <w:start w:val="single" w:sz="4" w:space="0" w:color="000000"/>
              <w:bottom w:val="single" w:sz="4" w:space="0" w:color="000000"/>
              <w:end w:val="single" w:sz="4" w:space="0" w:color="000000"/>
            </w:tcBorders>
          </w:tcPr>
          <w:p>
            <w:pPr>
              <w:pStyle w:val="Normal"/>
              <w:jc w:val="end"/>
              <w:rPr/>
            </w:pPr>
            <w:r>
              <w:rPr/>
              <w:t>$4.05 billion</w:t>
            </w:r>
          </w:p>
        </w:tc>
      </w:tr>
      <w:tr>
        <w:trPr/>
        <w:tc>
          <w:tcPr>
            <w:tcW w:w="4788" w:type="dxa"/>
            <w:tcBorders>
              <w:top w:val="single" w:sz="4" w:space="0" w:color="000000"/>
              <w:start w:val="single" w:sz="4" w:space="0" w:color="000000"/>
              <w:bottom w:val="single" w:sz="4" w:space="0" w:color="000000"/>
              <w:end w:val="single" w:sz="4" w:space="0" w:color="000000"/>
            </w:tcBorders>
          </w:tcPr>
          <w:p>
            <w:pPr>
              <w:pStyle w:val="Normal"/>
              <w:rPr/>
            </w:pPr>
            <w:r>
              <w:rPr/>
              <w:t>MRW Cash-Flow, Including Helms, HESI Forecast</w:t>
            </w:r>
          </w:p>
        </w:tc>
        <w:tc>
          <w:tcPr>
            <w:tcW w:w="4788" w:type="dxa"/>
            <w:tcBorders>
              <w:top w:val="single" w:sz="4" w:space="0" w:color="000000"/>
              <w:start w:val="single" w:sz="4" w:space="0" w:color="000000"/>
              <w:bottom w:val="single" w:sz="4" w:space="0" w:color="000000"/>
              <w:end w:val="single" w:sz="4" w:space="0" w:color="000000"/>
            </w:tcBorders>
          </w:tcPr>
          <w:p>
            <w:pPr>
              <w:pStyle w:val="Normal"/>
              <w:jc w:val="end"/>
              <w:rPr/>
            </w:pPr>
            <w:r>
              <w:rPr/>
              <w:t>$4.25 billion</w:t>
            </w:r>
          </w:p>
        </w:tc>
      </w:tr>
      <w:tr>
        <w:trPr/>
        <w:tc>
          <w:tcPr>
            <w:tcW w:w="4788" w:type="dxa"/>
            <w:tcBorders>
              <w:top w:val="single" w:sz="4" w:space="0" w:color="000000"/>
              <w:start w:val="single" w:sz="4" w:space="0" w:color="000000"/>
              <w:bottom w:val="single" w:sz="4" w:space="0" w:color="000000"/>
              <w:end w:val="single" w:sz="4" w:space="0" w:color="000000"/>
            </w:tcBorders>
          </w:tcPr>
          <w:p>
            <w:pPr>
              <w:pStyle w:val="Normal"/>
              <w:rPr/>
            </w:pPr>
            <w:r>
              <w:rPr/>
              <w:t>ORA “Conservative” Estimate</w:t>
            </w:r>
          </w:p>
        </w:tc>
        <w:tc>
          <w:tcPr>
            <w:tcW w:w="4788" w:type="dxa"/>
            <w:tcBorders>
              <w:top w:val="single" w:sz="4" w:space="0" w:color="000000"/>
              <w:start w:val="single" w:sz="4" w:space="0" w:color="000000"/>
              <w:bottom w:val="single" w:sz="4" w:space="0" w:color="000000"/>
              <w:end w:val="single" w:sz="4" w:space="0" w:color="000000"/>
            </w:tcBorders>
          </w:tcPr>
          <w:p>
            <w:pPr>
              <w:pStyle w:val="Normal"/>
              <w:jc w:val="end"/>
              <w:rPr/>
            </w:pPr>
            <w:r>
              <w:rPr/>
              <w:t>$2.00 billion</w:t>
            </w:r>
          </w:p>
        </w:tc>
      </w:tr>
    </w:tbl>
    <w:p>
      <w:pPr>
        <w:pStyle w:val="Normal"/>
        <w:rPr/>
      </w:pPr>
      <w:r>
        <w:rPr/>
      </w:r>
    </w:p>
    <w:sectPr>
      <w:footerReference w:type="default" r:id="rId3"/>
      <w:footerReference w:type="first" r:id="rId4"/>
      <w:footnotePr>
        <w:numFmt w:val="decimal"/>
      </w:footnotePr>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Derik J. Broekhoff" w:date="0-00-00T00:00:00Z" w:initials="DJB">
    <w:p>
      <w:pPr>
        <w:overflowPunct w:val="false"/>
        <w:bidi w:val="0"/>
        <w:rPr/>
      </w:pPr>
      <w:r>
        <w:annotationRef/>
      </w:r>
      <w:r>
        <w:rPr>
          <w:rFonts w:ascii="Times New Roman" w:hAnsi="Times New Roman" w:eastAsia="Times New Roman" w:cs="Times New Roman"/>
          <w:color w:val="auto"/>
          <w:sz w:val="20"/>
          <w:szCs w:val="20"/>
          <w:lang w:bidi="en-US" w:val="en-US" w:eastAsia="en-US"/>
        </w:rPr>
        <w:t xml:space="preserve"> Could not find in GRC appendices or decision</w:t>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640"/>
        <w:tab w:val="center" w:pos="4320" w:leader="none"/>
        <w:tab w:val="right" w:pos="9360" w:leader="none"/>
      </w:tabs>
      <w:rPr/>
    </w:pPr>
    <w:r>
      <w:rPr/>
      <w:t>April 27, 1999</w:t>
      <w:tab/>
      <w:tab/>
    </w:r>
    <w:r>
      <w:rPr>
        <w:i/>
      </w:rPr>
      <w:t>MRW &amp; Associates, Inc.</w:t>
    </w:r>
    <w:r>
      <mc:AlternateContent>
        <mc:Choice Requires="wps">
          <w:drawing>
            <wp:anchor behindDoc="0" distT="0" distB="0" distL="0" distR="0" simplePos="0" locked="0" layoutInCell="0" allowOverlap="1" relativeHeight="8">
              <wp:simplePos x="0" y="0"/>
              <wp:positionH relativeFrom="margin">
                <wp:align>center</wp:align>
              </wp:positionH>
              <wp:positionV relativeFrom="paragraph">
                <wp:posOffset>635</wp:posOffset>
              </wp:positionV>
              <wp:extent cx="76835" cy="177165"/>
              <wp:effectExtent l="0" t="0" r="0" b="0"/>
              <wp:wrapSquare wrapText="bothSides"/>
              <wp:docPr id="3" name="Frame1"/>
              <a:graphic xmlns:a="http://schemas.openxmlformats.org/drawingml/2006/main">
                <a:graphicData uri="http://schemas.microsoft.com/office/word/2010/wordprocessingShape">
                  <wps:wsp>
                    <wps:cNvSpPr txBox="1"/>
                    <wps:spPr>
                      <a:xfrm>
                        <a:off x="0" y="0"/>
                        <a:ext cx="76835"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95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 xml:space="preserve">Association of California Water Agencies, 1999?.  </w:t>
      </w:r>
      <w:r>
        <w:rPr>
          <w:i/>
        </w:rPr>
        <w:t>Valuation of PG&amp;E Hydroelectric Facilities Based Upon Primary Function</w:t>
      </w:r>
      <w:r>
        <w:rPr/>
        <w:t>.</w:t>
      </w:r>
    </w:p>
  </w:footnote>
  <w:footnote w:id="3">
    <w:p>
      <w:pPr>
        <w:pStyle w:val="FootnoteText"/>
        <w:rPr/>
      </w:pPr>
      <w:r>
        <w:rPr>
          <w:rStyle w:val="FootnoteCharacters"/>
        </w:rPr>
        <w:footnoteRef/>
      </w:r>
      <w:r>
        <w:rPr/>
        <w:t xml:space="preserve"> </w:t>
      </w:r>
      <w:r>
        <w:rPr/>
        <w:t>A. 99-12-024, Exhibit SCE-3, p. 3.</w:t>
      </w:r>
    </w:p>
  </w:footnote>
  <w:footnote w:id="4">
    <w:p>
      <w:pPr>
        <w:pStyle w:val="FootnoteText"/>
        <w:rPr/>
      </w:pPr>
      <w:r>
        <w:rPr>
          <w:rStyle w:val="FootnoteCharacters"/>
        </w:rPr>
        <w:footnoteRef/>
      </w:r>
      <w:r>
        <w:rPr/>
        <w:t xml:space="preserve"> </w:t>
      </w:r>
      <w:r>
        <w:rPr/>
        <w:t>ORA Testimony, p. 4-3.</w:t>
      </w:r>
    </w:p>
  </w:footnote>
  <w:footnote w:id="5">
    <w:p>
      <w:pPr>
        <w:pStyle w:val="FootnoteText"/>
        <w:rPr/>
      </w:pPr>
      <w:r>
        <w:rPr>
          <w:rStyle w:val="FootnoteCharacters"/>
        </w:rPr>
        <w:footnoteRef/>
      </w:r>
      <w:r>
        <w:rPr/>
        <w:t xml:space="preserve"> </w:t>
      </w:r>
      <w:r>
        <w:rPr/>
        <w:t>A.99-12-024, Description of Joint Proposal, December 1999.</w:t>
      </w:r>
    </w:p>
  </w:footnote>
  <w:footnote w:id="6">
    <w:p>
      <w:pPr>
        <w:pStyle w:val="FootnoteText"/>
        <w:rPr/>
      </w:pPr>
      <w:r>
        <w:rPr>
          <w:rStyle w:val="FootnoteCharacters"/>
        </w:rPr>
        <w:footnoteRef/>
      </w:r>
      <w:r>
        <w:rPr/>
        <w:t xml:space="preserve"> </w:t>
      </w:r>
      <w:r>
        <w:rPr/>
        <w:t>Data on PG&amp;E’s “average year” hydroelectric generation were obtained from its 1994 Electricity Report.</w:t>
      </w:r>
    </w:p>
  </w:footnote>
  <w:footnote w:id="7">
    <w:p>
      <w:pPr>
        <w:pStyle w:val="FootnoteText"/>
        <w:rPr/>
      </w:pPr>
      <w:r>
        <w:rPr>
          <w:rStyle w:val="FootnoteCharacters"/>
        </w:rPr>
        <w:footnoteRef/>
      </w:r>
      <w:r>
        <w:rPr/>
        <w:t xml:space="preserve"> </w:t>
      </w:r>
      <w:r>
        <w:rPr/>
        <w:t>A.99-12-024, Description of Joint Proposal, December 1999, p. 4.</w:t>
      </w:r>
    </w:p>
  </w:footnote>
  <w:footnote w:id="8">
    <w:p>
      <w:pPr>
        <w:pStyle w:val="FootnoteText"/>
        <w:rPr/>
      </w:pPr>
      <w:r>
        <w:rPr>
          <w:rStyle w:val="FootnoteCharacters"/>
        </w:rPr>
        <w:footnoteRef/>
      </w:r>
      <w:r>
        <w:rPr/>
        <w:t xml:space="preserve"> </w:t>
      </w:r>
      <w:r>
        <w:rPr/>
        <w:t xml:space="preserve">SCE used a more detailed DRI projection of the CPI inflation rate through circa 2021.  </w:t>
      </w:r>
    </w:p>
  </w:footnote>
  <w:footnote w:id="9">
    <w:p>
      <w:pPr>
        <w:pStyle w:val="FootnoteText"/>
        <w:rPr/>
      </w:pPr>
      <w:r>
        <w:rPr>
          <w:rStyle w:val="FootnoteCharacters"/>
        </w:rPr>
        <w:footnoteRef/>
      </w:r>
      <w:r>
        <w:rPr/>
        <w:t xml:space="preserve"> </w:t>
      </w:r>
      <w:r>
        <w:rPr/>
        <w:t>PG&amp;E 1994 Electricity Report Supply Forms, 1993-2013, June 1993, Form R-3D, p. 1.  Note that net generation for 1997 was very close to this “average year” level.</w:t>
      </w:r>
    </w:p>
  </w:footnote>
  <w:footnote w:id="10">
    <w:p>
      <w:pPr>
        <w:pStyle w:val="FootnoteText"/>
        <w:rPr/>
      </w:pPr>
      <w:r>
        <w:rPr>
          <w:rStyle w:val="FootnoteCharacters"/>
        </w:rPr>
        <w:footnoteRef/>
      </w:r>
      <w:r>
        <w:rPr/>
        <w:t xml:space="preserve"> </w:t>
      </w:r>
      <w:r>
        <w:rPr/>
        <w:t>SCE’s based its estimates on average generation over the period from 1978 to 1998, then examined “high” and “low” scenarios based on generation levels that were one standard deviation above and below this average.  A similar approach results in values quite similar to “average,” “wet,” and “dry” years for PG&amp;E.</w:t>
      </w:r>
    </w:p>
  </w:footnote>
  <w:footnote w:id="11">
    <w:p>
      <w:pPr>
        <w:pStyle w:val="FootnoteText"/>
        <w:rPr/>
      </w:pPr>
      <w:r>
        <w:rPr>
          <w:rStyle w:val="FootnoteCharacters"/>
        </w:rPr>
        <w:footnoteRef/>
      </w:r>
      <w:r>
        <w:rPr/>
        <w:t xml:space="preserve"> </w:t>
      </w:r>
      <w:r>
        <w:rPr/>
        <w:t xml:space="preserve">California Energy Commission, 2000.  </w:t>
      </w:r>
      <w:r>
        <w:rPr>
          <w:i/>
        </w:rPr>
        <w:t>Market Clearing Prices Under Alternative Resource Scenarios, 2000-2010</w:t>
      </w:r>
      <w:r>
        <w:rPr/>
        <w:t>.  Sacramento, California.</w:t>
      </w:r>
    </w:p>
  </w:footnote>
  <w:footnote w:id="12">
    <w:p>
      <w:pPr>
        <w:pStyle w:val="FootnoteText"/>
        <w:rPr/>
      </w:pPr>
      <w:r>
        <w:rPr>
          <w:rStyle w:val="FootnoteCharacters"/>
        </w:rPr>
        <w:footnoteRef/>
      </w:r>
      <w:r>
        <w:rPr/>
        <w:t xml:space="preserve"> </w:t>
      </w:r>
      <w:r>
        <w:rPr/>
        <w:t>We assumed that these rates include inflation.</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4"/>
      <w:numFmt w:val="upperRoman"/>
      <w:lvlText w:val="%1."/>
      <w:lvlJc w:val="start"/>
      <w:pPr>
        <w:tabs>
          <w:tab w:val="num" w:pos="720"/>
        </w:tabs>
        <w:ind w:start="720" w:hanging="720"/>
      </w:pPr>
      <w:rPr/>
    </w:lvl>
  </w:abstractNum>
  <w:abstractNum w:abstractNumId="3">
    <w:lvl w:ilvl="0">
      <w:start w:val="1"/>
      <w:numFmt w:val="upperLetter"/>
      <w:lvlText w:val="%1."/>
      <w:lvlJc w:val="start"/>
      <w:pPr>
        <w:tabs>
          <w:tab w:val="num" w:pos="720"/>
        </w:tabs>
        <w:ind w:start="720" w:hanging="720"/>
      </w:pPr>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7"/>
      <w:numFmt w:val="upperRoman"/>
      <w:lvlText w:val="%1."/>
      <w:lvlJc w:val="start"/>
      <w:pPr>
        <w:tabs>
          <w:tab w:val="num" w:pos="720"/>
        </w:tabs>
        <w:ind w:start="720" w:hanging="720"/>
      </w:pPr>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trackRevisions/>
  <w:defaultTabStop w:val="720"/>
  <w:autoHyphenation w:val="true"/>
  <w:hyphenationZone w:val="0"/>
  <w:footnotePr>
    <w:numFmt w:val="decimal"/>
    <w:footnote w:id="0"/>
    <w:footnote w:id="1"/>
  </w:footnotePr>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paragraph" w:styleId="Heading1">
    <w:name w:val="heading 1"/>
    <w:basedOn w:val="Normal"/>
    <w:next w:val="Normal"/>
    <w:qFormat/>
    <w:pPr>
      <w:keepNext w:val="true"/>
      <w:numPr>
        <w:ilvl w:val="0"/>
        <w:numId w:val="1"/>
      </w:numPr>
      <w:tabs>
        <w:tab w:val="clear" w:pos="720"/>
        <w:tab w:val="center" w:pos="4680" w:leader="none"/>
      </w:tabs>
      <w:jc w:val="center"/>
      <w:outlineLvl w:val="0"/>
    </w:pPr>
    <w:rPr>
      <w:b/>
    </w:rPr>
  </w:style>
  <w:style w:type="paragraph" w:styleId="Heading2">
    <w:name w:val="heading 2"/>
    <w:basedOn w:val="Normal"/>
    <w:next w:val="Normal"/>
    <w:qFormat/>
    <w:pPr>
      <w:keepNext w:val="true"/>
      <w:widowControl/>
      <w:numPr>
        <w:ilvl w:val="0"/>
        <w:numId w:val="3"/>
      </w:numPr>
      <w:outlineLvl w:val="1"/>
    </w:pPr>
    <w:rPr>
      <w:b/>
      <w:lang w:eastAsia="en-CA"/>
    </w:rPr>
  </w:style>
  <w:style w:type="paragraph" w:styleId="Heading3">
    <w:name w:val="heading 3"/>
    <w:basedOn w:val="Normal"/>
    <w:next w:val="Normal"/>
    <w:qFormat/>
    <w:pPr>
      <w:keepNext w:val="true"/>
      <w:widowControl/>
      <w:numPr>
        <w:ilvl w:val="2"/>
        <w:numId w:val="1"/>
      </w:numPr>
      <w:outlineLvl w:val="2"/>
    </w:pPr>
    <w:rPr>
      <w:i/>
      <w:lang w:eastAsia="en-CA"/>
    </w:rPr>
  </w:style>
  <w:style w:type="paragraph" w:styleId="Heading4">
    <w:name w:val="heading 4"/>
    <w:basedOn w:val="Normal"/>
    <w:next w:val="Normal"/>
    <w:qFormat/>
    <w:pPr>
      <w:keepNext w:val="true"/>
      <w:numPr>
        <w:ilvl w:val="3"/>
        <w:numId w:val="1"/>
      </w:numPr>
      <w:outlineLvl w:val="3"/>
    </w:pPr>
    <w:rPr>
      <w:b/>
    </w:rPr>
  </w:style>
  <w:style w:type="character" w:styleId="WW8Num1z0">
    <w:name w:val="WW8Num1z0"/>
    <w:qFormat/>
    <w:rPr/>
  </w:style>
  <w:style w:type="character" w:styleId="WW8Num2z0">
    <w:name w:val="WW8Num2z0"/>
    <w:qFormat/>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style>
  <w:style w:type="character" w:styleId="WW8Num20z0">
    <w:name w:val="WW8Num20z0"/>
    <w:qFormat/>
    <w:rPr>
      <w:rFonts w:ascii="Symbol" w:hAnsi="Symbol" w:cs="Symbol"/>
    </w:rPr>
  </w:style>
  <w:style w:type="character" w:styleId="WW8Num21z0">
    <w:name w:val="WW8Num21z0"/>
    <w:qFormat/>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DefaultParagraphFont">
    <w:name w:val="Default Paragraph Font"/>
    <w:qFormat/>
    <w:rPr/>
  </w:style>
  <w:style w:type="character" w:styleId="FootnoteCharacters">
    <w:name w:val="Footnote Characters"/>
    <w:qFormat/>
    <w:rPr/>
  </w:style>
  <w:style w:type="character" w:styleId="PageNumber">
    <w:name w:val="page number"/>
    <w:basedOn w:val="DefaultParagraphFont"/>
    <w:rPr/>
  </w:style>
  <w:style w:type="character" w:styleId="CommentReference">
    <w:name w:val="Comment Reference"/>
    <w:basedOn w:val="DefaultParagraphFont"/>
    <w:qFormat/>
    <w:rPr>
      <w:sz w:val="16"/>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widowControl/>
    </w:pPr>
    <w:rPr>
      <w:sz w:val="20"/>
      <w:lang w:eastAsia="en-CA"/>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HTMLBody">
    <w:name w:val="HTML Body"/>
    <w:qFormat/>
    <w:pPr>
      <w:widowControl/>
      <w:bidi w:val="0"/>
    </w:pPr>
    <w:rPr>
      <w:rFonts w:ascii="Arial" w:hAnsi="Arial" w:eastAsia="Times New Roman" w:cs="Arial"/>
      <w:color w:val="auto"/>
      <w:sz w:val="20"/>
      <w:szCs w:val="20"/>
      <w:lang w:val="en-US" w:eastAsia="en-US" w:bidi="hi-IN"/>
    </w:rPr>
  </w:style>
  <w:style w:type="paragraph" w:styleId="BodyText2">
    <w:name w:val="Body Text 2"/>
    <w:basedOn w:val="Normal"/>
    <w:qFormat/>
    <w:pPr/>
    <w:rPr>
      <w:b/>
    </w:rPr>
  </w:style>
  <w:style w:type="paragraph" w:styleId="CommentText">
    <w:name w:val="Comment Text"/>
    <w:basedOn w:val="Normal"/>
    <w:qFormat/>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notes" Target="footnotes.xml"/><Relationship Id="rId6" Type="http://schemas.openxmlformats.org/officeDocument/2006/relationships/comments" Target="comment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2000-04-27T15:28:00Z</dcterms:created>
  <dc:creator>elaine chiodi</dc:creator>
  <dc:description/>
  <dc:language>en-CA</dc:language>
  <cp:lastModifiedBy>Suzie Kito</cp:lastModifiedBy>
  <cp:lastPrinted>2000-04-27T10:48:00Z</cp:lastPrinted>
  <dcterms:modified xsi:type="dcterms:W3CDTF">2000-04-27T15:28:00Z</dcterms:modified>
  <cp:revision>2</cp:revision>
  <dc:subject/>
  <dc:title> </dc:title>
</cp:coreProperties>
</file>