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UnderlineCenter"/>
        <w:rPr>
          <w:b/>
          <w:bCs/>
        </w:rPr>
      </w:pPr>
      <w:r>
        <w:rPr>
          <w:b/>
          <w:bCs/>
        </w:rPr>
        <w:t>HUMAN RESOURCES AGREEMENT</w:t>
      </w:r>
    </w:p>
    <w:p>
      <w:pPr>
        <w:pStyle w:val="VEBodyText"/>
        <w:ind w:firstLine="720" w:end="0"/>
        <w:rPr/>
      </w:pPr>
      <w:r>
        <w:rPr/>
        <w:t>This Human Resources Agreement (this “</w:t>
      </w:r>
      <w:r>
        <w:rPr>
          <w:b/>
          <w:bCs/>
        </w:rPr>
        <w:t>Agreement</w:t>
      </w:r>
      <w:r>
        <w:rPr/>
        <w:t>”) dated this ___ day of ____________, 2001, is made between Enron Corp., an Oregon corporation (“</w:t>
      </w:r>
      <w:r>
        <w:rPr>
          <w:b/>
          <w:bCs/>
        </w:rPr>
        <w:t>Buyer</w:t>
      </w:r>
      <w:r>
        <w:rPr/>
        <w:t>”) and Georgia-Pacific Corporation, a Georgia corporation (“</w:t>
      </w:r>
      <w:r>
        <w:rPr>
          <w:b/>
          <w:bCs/>
        </w:rPr>
        <w:t>Seller</w:t>
      </w:r>
      <w:r>
        <w:rPr/>
        <w:t>” and collectively with “Buyer,” the “</w:t>
      </w:r>
      <w:r>
        <w:rPr>
          <w:b/>
          <w:bCs/>
        </w:rPr>
        <w:t>Parties</w:t>
      </w:r>
      <w:r>
        <w:rPr/>
        <w:t>”).</w:t>
      </w:r>
    </w:p>
    <w:p>
      <w:pPr>
        <w:pStyle w:val="VEBodyText"/>
        <w:ind w:firstLine="720" w:end="0"/>
        <w:rPr/>
      </w:pPr>
      <w:r>
        <w:rPr>
          <w:b/>
          <w:bCs/>
        </w:rPr>
        <w:t>WHEREAS</w:t>
      </w:r>
      <w:r>
        <w:rPr/>
        <w:t>, Buyer, Enron Industrial Markets LLC (“</w:t>
      </w:r>
      <w:r>
        <w:rPr>
          <w:b/>
          <w:bCs/>
        </w:rPr>
        <w:t>EIM</w:t>
      </w:r>
      <w:r>
        <w:rPr/>
        <w:t>”), a Delaware limited liability company and a wholly owned subsidiary of Buyer, Seller, Leaf River Forest Products, Inc., a Delaware corporation and an indirect wholly-owned subsidiary of Seller (“</w:t>
      </w:r>
      <w:r>
        <w:rPr>
          <w:b/>
          <w:bCs/>
        </w:rPr>
        <w:t>LRFP</w:t>
      </w:r>
      <w:r>
        <w:rPr/>
        <w:t>”), and Newco, LLC, a Delaware limited liability company (the “</w:t>
      </w:r>
      <w:r>
        <w:rPr>
          <w:b/>
          <w:bCs/>
        </w:rPr>
        <w:t>Company</w:t>
      </w:r>
      <w:r>
        <w:rPr/>
        <w:t>”) have entered into a Joint Venture Agreement dated as of _________, 2001 (“</w:t>
      </w:r>
      <w:r>
        <w:rPr>
          <w:b/>
          <w:bCs/>
        </w:rPr>
        <w:t>Joint Venture Agreement</w:t>
      </w:r>
      <w:r>
        <w:rPr/>
        <w:t>”) whereby LRFP agreed to assign its right, title, and interest in the assets comprising the Leaf River Mill to the Company in exchange for a 5% interest in the Company and whereby EIM agreed to arrange certain financing for the Company and to manage and operate the Company in exchange for a 95% interest in the Company.</w:t>
      </w:r>
    </w:p>
    <w:p>
      <w:pPr>
        <w:pStyle w:val="VEBodyTextFLI"/>
        <w:rPr/>
      </w:pPr>
      <w:r>
        <w:rPr>
          <w:b/>
          <w:bCs/>
        </w:rPr>
        <w:t>WHEREAS</w:t>
      </w:r>
      <w:r>
        <w:rPr/>
        <w:t>, as a condition to Closing under the Joint Venture Agreement, the Parties hereto enter into this Agreement,</w:t>
      </w:r>
    </w:p>
    <w:p>
      <w:pPr>
        <w:pStyle w:val="VEBodyTextFLI"/>
        <w:rPr/>
      </w:pPr>
      <w:r>
        <w:rPr>
          <w:b/>
          <w:bCs/>
        </w:rPr>
        <w:t>NOW, THEREFORE</w:t>
      </w:r>
      <w:r>
        <w:rPr/>
        <w:t>, the Parties hereto agree as follows:</w:t>
      </w:r>
    </w:p>
    <w:p>
      <w:pPr>
        <w:pStyle w:val="VEBodyTextFLI"/>
        <w:ind w:hanging="0" w:end="0"/>
        <w:rPr/>
      </w:pPr>
      <w:r>
        <w:rPr>
          <w:rStyle w:val="VEBold"/>
        </w:rPr>
        <w:t>Article 1.</w:t>
        <w:tab/>
        <w:t xml:space="preserve">Definitions/Procedural Conventions. </w:t>
      </w:r>
      <w:r>
        <w:rPr/>
        <w:t xml:space="preserve"> Unless otherwise expressly indicated, capitalized terms used and not defined herein shall have the meanings set forth in the Joint Venture Agreement, and all rules as to usage and procedural conventions set forth in the Joint Venture Agreement shall govern this Agreement unless otherwise provided herein.</w:t>
      </w:r>
    </w:p>
    <w:p>
      <w:pPr>
        <w:pStyle w:val="VEBodyText"/>
        <w:rPr/>
      </w:pPr>
      <w:r>
        <w:rPr>
          <w:rStyle w:val="VEBold"/>
        </w:rPr>
        <w:t>Article 2.</w:t>
        <w:tab/>
        <w:t>Covenants with Respect to Seller Employees.</w:t>
      </w:r>
    </w:p>
    <w:p>
      <w:pPr>
        <w:pStyle w:val="VEBodyText"/>
        <w:ind w:firstLine="720" w:end="0"/>
        <w:rPr/>
      </w:pPr>
      <w:r>
        <w:rPr>
          <w:rStyle w:val="VEBold"/>
        </w:rPr>
        <w:t>2.01</w:t>
        <w:tab/>
        <w:t>Employment of Seller Employees.</w:t>
      </w:r>
    </w:p>
    <w:p>
      <w:pPr>
        <w:pStyle w:val="VEBodyTextFLI1"/>
        <w:rPr/>
      </w:pPr>
      <w:r>
        <w:rPr/>
        <w:t>(a)</w:t>
        <w:tab/>
        <w:t>At least 45 days before the Closing Date, Buyer shall make offers of employment to each individual who, with respect to the Leaf River Mill Business, is “actively employed” (which excludes, but is not limited to, those individuals who are on sick leave or on long-term disability) by Seller on such date and who is identified in Schedule A (“Seller Employee”), which offers shall detail the level of job responsibility, base pay level, job location, annual bonus opportunity, and other relevant factors.  At least 30 days prior to the Closing Date, Buyer and Buyer’s Affiliates shall notify Seller of the identity of those Seller Employees who have accepted such offers of employment.</w:t>
      </w:r>
    </w:p>
    <w:p>
      <w:pPr>
        <w:pStyle w:val="VEBodyTextFLI1"/>
        <w:rPr/>
      </w:pPr>
      <w:r>
        <w:rPr/>
        <w:t>(b)</w:t>
        <w:tab/>
        <w:t>Immediately after the Closing, Buyer shall cause the Company to employ Seller Employees who have accepted Buyer’s offer of employment and who were “actively employed” by Seller immediately prior to the Closing and each of these employees shall be known, from the date on which he or she performs his or her first hour of employment with the Company after the Closing (the “</w:t>
      </w:r>
      <w:r>
        <w:rPr>
          <w:rStyle w:val="VEBold"/>
        </w:rPr>
        <w:t>Employment Commencement Date</w:t>
      </w:r>
      <w:r>
        <w:rPr/>
        <w:t>”), as a “</w:t>
      </w:r>
      <w:r>
        <w:rPr>
          <w:rStyle w:val="VEBold"/>
        </w:rPr>
        <w:t>Transferred Seller Employee</w:t>
      </w:r>
      <w:r>
        <w:rPr/>
        <w:t xml:space="preserve">.”  With respect to Seller Employees who on the Closing Date are absent from work due to (1) scheduled holidays or (2) vacation, the term “Employment Commencement Date” shall be the Closing Date.  </w:t>
      </w:r>
    </w:p>
    <w:p>
      <w:pPr>
        <w:pStyle w:val="VEBodyText"/>
        <w:ind w:firstLine="720" w:end="0"/>
        <w:rPr/>
      </w:pPr>
      <w:r>
        <w:rPr>
          <w:rStyle w:val="VEBold"/>
        </w:rPr>
        <w:t>2.02</w:t>
      </w:r>
      <w:r>
        <w:rPr/>
        <w:tab/>
      </w:r>
      <w:r>
        <w:rPr>
          <w:rStyle w:val="VEBold"/>
        </w:rPr>
        <w:t>Benefits for Transferred Seller Employees.</w:t>
      </w:r>
      <w:r>
        <w:rPr/>
        <w:t xml:space="preserve">  Effective immediately after the Closing, except as specifically provided herein, Buyer shall cause the Transferred Seller Employees to be eligible to participate, effective as of their respective Employment Commencement Dates and consistent with the terms of this Agreement, in all of the Buyer’s employee pension benefit plans, employee welfare benefit plans, and other plans, programs, policies, and practices on the same basis as similarly situated employees of Buyer and its Affiliates.</w:t>
      </w:r>
    </w:p>
    <w:p>
      <w:pPr>
        <w:pStyle w:val="VEBodyText"/>
        <w:ind w:firstLine="720" w:end="0"/>
        <w:rPr/>
      </w:pPr>
      <w:r>
        <w:rPr>
          <w:rStyle w:val="VEBold"/>
        </w:rPr>
        <w:t>2.03</w:t>
      </w:r>
      <w:r>
        <w:rPr/>
        <w:tab/>
      </w:r>
      <w:r>
        <w:rPr>
          <w:rStyle w:val="VEBold"/>
        </w:rPr>
        <w:t>Welfare Plan Coverage.</w:t>
      </w:r>
      <w:r>
        <w:rPr/>
        <w:t xml:space="preserve">  The Parties agree that:</w:t>
      </w:r>
    </w:p>
    <w:p>
      <w:pPr>
        <w:pStyle w:val="VEBodyText"/>
        <w:ind w:firstLine="720" w:end="0"/>
        <w:rPr/>
      </w:pPr>
      <w:r>
        <w:rPr/>
        <w:t>(a)</w:t>
        <w:tab/>
        <w:t>Buyer shall cause the Company to adopt or to establish and maintain, effective as of the Closing Date, welfare plans (the “</w:t>
      </w:r>
      <w:r>
        <w:rPr>
          <w:b/>
          <w:bCs/>
        </w:rPr>
        <w:t>Welfare</w:t>
      </w:r>
      <w:r>
        <w:rPr>
          <w:rStyle w:val="VEBold"/>
        </w:rPr>
        <w:t xml:space="preserve"> Plans</w:t>
      </w:r>
      <w:r>
        <w:rPr/>
        <w:t>”), that will recognize the Transferred Seller Employee’s service with Seller prior to his or her Employment Commencement Date and with the Company, Buyer, and Buyer’s other Affiliates on and after his or her Employment Commencement Date.</w:t>
      </w:r>
    </w:p>
    <w:p>
      <w:pPr>
        <w:pStyle w:val="VEBodyText"/>
        <w:ind w:firstLine="720" w:end="0"/>
        <w:rPr/>
      </w:pPr>
      <w:r>
        <w:rPr/>
        <w:t>(b)</w:t>
        <w:tab/>
        <w:t>Buyer shall cause the Company to cause the Transferred Seller Employees to become eligible to become participants under the Welfare Plans as of their respective Employment Commencement Dates.  Buyer shall also cause the Company to cause the Welfare Plans to waive any pre-existing-conditions exclusions to coverage, any evidence-of-insurability provisions, and any waiting-period requirements under the Welfare Plans.  For each Transferred Seller Employee, Buyer shall cause the Company to apply towards any deductible requirements and out-of-pocket maximum limits under the Welfare Plans applicable to the year of such Transferred Seller Employee’s Employment Commencement Date, any amounts paid by such Transferred Seller Employee toward such requirements and limits under similar employment-related plans of Seller in which he or she participated during such year.</w:t>
      </w:r>
    </w:p>
    <w:p>
      <w:pPr>
        <w:pStyle w:val="VEBodyText"/>
        <w:ind w:firstLine="720" w:end="0"/>
        <w:rPr/>
      </w:pPr>
      <w:r>
        <w:rPr>
          <w:b/>
          <w:bCs/>
        </w:rPr>
        <w:t>2.04</w:t>
        <w:tab/>
        <w:t>Pension Plan Coverage and Assets.</w:t>
      </w:r>
      <w:r>
        <w:rPr/>
        <w:t xml:space="preserve">  The Parties agree that:</w:t>
      </w:r>
    </w:p>
    <w:p>
      <w:pPr>
        <w:pStyle w:val="VEBodyText"/>
        <w:ind w:firstLine="720" w:end="0"/>
        <w:rPr/>
      </w:pPr>
      <w:r>
        <w:rPr/>
        <w:t>(a)</w:t>
        <w:tab/>
        <w:t>Buyer shall cause the Company to adopt or to establish and maintain, effective as of the first Business Day immediately following the Closing Date a qualified pension plan (the “</w:t>
      </w:r>
      <w:r>
        <w:rPr>
          <w:b/>
          <w:bCs/>
        </w:rPr>
        <w:t>Pension Plan</w:t>
      </w:r>
      <w:r>
        <w:rPr/>
        <w:t>”) that will be consistent with Section 41l(d)(6) of the Code with respect to any assets and liabilities transferred from the Georgia-Pacific Corporation Salaried Employees Retirement Plan (“</w:t>
      </w:r>
      <w:r>
        <w:rPr>
          <w:b/>
          <w:bCs/>
        </w:rPr>
        <w:t>Seller’s Pension Plan</w:t>
      </w:r>
      <w:r>
        <w:rPr/>
        <w:t>”).</w:t>
      </w:r>
    </w:p>
    <w:p>
      <w:pPr>
        <w:pStyle w:val="VEBodyText"/>
        <w:ind w:firstLine="720" w:end="0"/>
        <w:rPr/>
      </w:pPr>
      <w:r>
        <w:rPr/>
        <w:t>(b)</w:t>
        <w:tab/>
        <w:t>As soon as practicable after the date hereof, Seller shall prepare and deliver to Buyer Schedule B setting forth the names of the Transferred Seller Employees who were participants in Seller’s Pension Plan as of the date of this Agreement.  As soon as practicable after the Closing Date, Seller shall prepare and deliver to Buyer a revised Schedule B setting forth (1) the names of the Transferred Seller Employees and (2) their accrued benefits under Seller’s Pension Plan as of their respective Employment Commencement Dates (“</w:t>
      </w:r>
      <w:r>
        <w:rPr>
          <w:b/>
          <w:bCs/>
        </w:rPr>
        <w:t>Revised Schedule B</w:t>
      </w:r>
      <w:r>
        <w:rPr/>
        <w:t xml:space="preserve">”); </w:t>
      </w:r>
      <w:r>
        <w:rPr>
          <w:i/>
          <w:iCs/>
        </w:rPr>
        <w:t>provided, however</w:t>
      </w:r>
      <w:r>
        <w:rPr/>
        <w:t>, that if, at the date of employment with the Company, the Transferred Seller Employee has not in effect elected to transfer his or her entire pension benefit to the Pension Plan, then assets and liabilities allocable to a Transferred Seller Employee will not be transferred to the Pension Plan and no accrued benefits will be listed for such person on Revised Schedule B.</w:t>
      </w:r>
    </w:p>
    <w:p>
      <w:pPr>
        <w:pStyle w:val="VEBodyText"/>
        <w:ind w:firstLine="720" w:end="0"/>
        <w:rPr/>
      </w:pPr>
      <w:r>
        <w:rPr/>
        <w:t>(c)</w:t>
        <w:tab/>
        <w:t>Buyer shall cause the Company to cause the Transferred Seller Employees to become participants under the Pension Plan as of their respective Employment Commencement Dates.  Buyer shall cause the Company to cause the Pension Plan to give each Transferred Seller Employee:  (1) credit for vesting purposes in at least the same amount as their credited vesting service under Seller’s Pension Plan; (2) credit for participation purposes in at least the same amount as their credited participation service under Seller’s Pension Plan.</w:t>
      </w:r>
    </w:p>
    <w:p>
      <w:pPr>
        <w:pStyle w:val="VEBodyText"/>
        <w:ind w:firstLine="720" w:end="0"/>
        <w:rPr/>
      </w:pPr>
      <w:r>
        <w:rPr/>
        <w:t>(d)</w:t>
        <w:tab/>
        <w:t xml:space="preserve">As promptly after the Closing Date as practicable, Seller shall cause Seller’s Pension Plan to transfer the existing assets allocable to the Transferred Seller Employees’ accrued benefits thereunder, pursuant to all applicable requirements of law and subject to the discretion of the Buyer, to the Pension Plan.  </w:t>
      </w:r>
    </w:p>
    <w:p>
      <w:pPr>
        <w:pStyle w:val="VEBodyText"/>
        <w:ind w:firstLine="720" w:end="0"/>
        <w:rPr/>
      </w:pPr>
      <w:r>
        <w:rPr/>
        <w:t>(e)</w:t>
        <w:tab/>
        <w:t>Subject to Buyer’s discretion [To come:  reasonable actuarial assumptions to be used], Seller’s Pension Plan actuary shall determine the amounts, consistent with Section 414(l) of the Code, which are actuarially required to provide the pension benefits of the Transferred Seller Employees under Seller’s Pension Plan as of the date of their respective Employment Commencement Dates.</w:t>
      </w:r>
    </w:p>
    <w:p>
      <w:pPr>
        <w:pStyle w:val="VEBodyText"/>
        <w:ind w:firstLine="720" w:end="0"/>
        <w:rPr/>
      </w:pPr>
      <w:r>
        <w:rPr/>
        <w:t>(f)</w:t>
        <w:tab/>
        <w:t>Subject to Buyer’s discretion, Buyer shall cause the Company to cause the Pension Plan to assume the obligations and liabilities under Seller’s Pension Plan in respect of accrued pension benefits of the Transferred Seller Employees effective as of their respective Employment Commencement Dates and Buyer shall cause the Company to refrain from adopting any amendments to the Pension Plan which could result in a reduction of such accrued pension benefits of any Transferred Seller Employee in violation of Section 411 (d)(6) of the Code.  The accrued pension benefits of the Transferred Seller Employees will, at all times, be no less in the Pension Plan than such accrued benefits were under Seller’s Pension Plan as of their respective Employment Commencement Dates, pursuant to Section 414(l) of the Code.</w:t>
      </w:r>
    </w:p>
    <w:p>
      <w:pPr>
        <w:pStyle w:val="VEBodyText"/>
        <w:ind w:firstLine="720" w:end="0"/>
        <w:rPr/>
      </w:pPr>
      <w:r>
        <w:rPr/>
        <w:t>(g)</w:t>
        <w:tab/>
        <w:t>Seller and Buyer agree to use reasonable efforts expeditiously to take all actions necessary or desirable to implement as soon as reasonably possible the provisions herein with respect to employee benefit plans, policies, programs, and practices for the Transferred Seller Employees.</w:t>
      </w:r>
    </w:p>
    <w:p>
      <w:pPr>
        <w:pStyle w:val="VEBodyText"/>
        <w:ind w:firstLine="720" w:end="0"/>
        <w:rPr/>
      </w:pPr>
      <w:r>
        <w:rPr/>
        <w:t>(h)</w:t>
        <w:tab/>
        <w:t>Notwithstanding anything herein to the contrary, Seller Transferred Employees shall have the right to elect whether or not to transfer their entire accrued benefit from Seller’s Pension Plan to the Pension Plan; and neither assets nor liabilities shall be transferred from Seller’s Pension Plan to the Pension Plan with respect to Transferred Seller Employees who elect in effect to keep their accrued benefits with the former.</w:t>
      </w:r>
    </w:p>
    <w:p>
      <w:pPr>
        <w:pStyle w:val="VEBodyText"/>
        <w:ind w:firstLine="720" w:end="0"/>
        <w:rPr/>
      </w:pPr>
      <w:r>
        <w:rPr>
          <w:rStyle w:val="VEBold"/>
        </w:rPr>
        <w:t>2.05</w:t>
      </w:r>
      <w:r>
        <w:rPr/>
        <w:tab/>
      </w:r>
      <w:r>
        <w:rPr>
          <w:rStyle w:val="VEBold"/>
        </w:rPr>
        <w:t>Savings Plan Coverage.</w:t>
      </w:r>
      <w:r>
        <w:rPr/>
        <w:t xml:space="preserve">  The Parties agree:</w:t>
      </w:r>
    </w:p>
    <w:p>
      <w:pPr>
        <w:pStyle w:val="VEBodyTextFLI"/>
        <w:rPr/>
      </w:pPr>
      <w:r>
        <w:rPr/>
        <w:t>(a)</w:t>
        <w:tab/>
        <w:t>Buyer shall cause the Company to adopt or to establish and maintain effective as of the Closing Date one or more qualified savings plans (the “</w:t>
      </w:r>
      <w:r>
        <w:rPr>
          <w:rStyle w:val="VEBold"/>
        </w:rPr>
        <w:t>Savings Plans</w:t>
      </w:r>
      <w:r>
        <w:rPr/>
        <w:t>”) that will be consistent with Section 411 (d)(6) of the Code with respect to any assets transferred from the Georgia Pacific Corporation Salaried 401(k) Plan (the “</w:t>
      </w:r>
      <w:r>
        <w:rPr>
          <w:b/>
          <w:bCs/>
        </w:rPr>
        <w:t>Seller’s Savings Plan</w:t>
      </w:r>
      <w:r>
        <w:rPr/>
        <w:t>”).</w:t>
      </w:r>
    </w:p>
    <w:p>
      <w:pPr>
        <w:pStyle w:val="VEBodyTextFLI"/>
        <w:rPr/>
      </w:pPr>
      <w:r>
        <w:rPr/>
        <w:t>(b)</w:t>
        <w:tab/>
        <w:t xml:space="preserve">As soon as practicable after the date hereof, Seller shall prepare and deliver to Buyer Schedule C setting forth the names of the Transferred Seller Employees who were participants in Seller’s Savings Plan as of the date of this Agreement and Buyer shall cause the Company to cause the Transferred Seller Employees to become participants under the Savings Plans as of their respective Employment Commencement Dates.  </w:t>
      </w:r>
    </w:p>
    <w:p>
      <w:pPr>
        <w:pStyle w:val="VEBodyTextFLI"/>
        <w:rPr/>
      </w:pPr>
      <w:r>
        <w:rPr/>
        <w:t>(c)</w:t>
        <w:tab/>
        <w:t>Within 90 days following their respective Employment Commencement Dates, Seller Employees shall have the right to elect whether or not to transfer their account balances from Seller’s Savings Plan to the Savings Plans.  Where a Transferred Seller Employee elects not to transfer those balances, the same shall remain in Seller’s Savings Plan and distribution rights of Transferred Employees shall be determined pursuant to the terms and conditions thereof and applicable law and regulations.  Where a Transferred Seller Employee elects to transfer those balances, then Buyer, in its discretion, shall cause the Company to cause the Savings Plans to accept such account balances, in a direct trustee-to-trustee transfer that is subject to the requirements of section 414(l) of the Code.</w:t>
      </w:r>
    </w:p>
    <w:p>
      <w:pPr>
        <w:pStyle w:val="VEBodyText"/>
        <w:ind w:firstLine="720" w:end="0"/>
        <w:rPr/>
      </w:pPr>
      <w:r>
        <w:rPr>
          <w:rStyle w:val="VEBold"/>
        </w:rPr>
        <w:t>2.06</w:t>
      </w:r>
      <w:r>
        <w:rPr/>
        <w:tab/>
      </w:r>
      <w:r>
        <w:rPr>
          <w:rStyle w:val="VEBold"/>
        </w:rPr>
        <w:t>Past Service Credit.</w:t>
      </w:r>
    </w:p>
    <w:p>
      <w:pPr>
        <w:pStyle w:val="VEBodyTextFLI"/>
        <w:rPr/>
      </w:pPr>
      <w:r>
        <w:rPr/>
        <w:t>(a)</w:t>
        <w:tab/>
        <w:t>Buyer and the Company will cause all of those employee welfare benefit plans, programs, policies, and practices, in which the Transferred Seller Employees participate, including but not limited to vacation and sick time policies, to recognize past service as recognized by the employee welfare benefit plans, programs, policies and practices of Seller and its Affiliates, for purposes of eligibility to participate, eligibility for enrollment, eligibility for the commencement of benefits, and eligibility for the levels of benefits where there are service-related benefit schedules in effect and for any other purpose for which service is considered under such plans, programs, policies and practices, [save and except for retiree medical coverage eligibility purposes].</w:t>
      </w:r>
    </w:p>
    <w:p>
      <w:pPr>
        <w:pStyle w:val="VEBodyTextFLI"/>
        <w:rPr/>
      </w:pPr>
      <w:r>
        <w:rPr/>
        <w:t>(b)</w:t>
        <w:tab/>
        <w:t xml:space="preserve">Buyer shall cause all of those employee pension benefit plans programs, policies, and practices in which the Transferred Seller Employees participate to recognize past service as recognized by the employee pension benefit plans, programs, policies and practices of Seller and its Affiliates for purposes of eligibility to participate, eligibility for enrollment, eligibility for vesting, eligibility for the commencement of benefits, and eligibility for the forms of benefits where contributions to the plan or payments from the plan depend in whole or in part on service, but not for purposes of benefit accrual.  </w:t>
      </w:r>
    </w:p>
    <w:p>
      <w:pPr>
        <w:pStyle w:val="VEBodyText"/>
        <w:ind w:firstLine="720" w:end="0"/>
        <w:rPr/>
      </w:pPr>
      <w:r>
        <w:rPr>
          <w:rStyle w:val="VEBold"/>
        </w:rPr>
        <w:t>2.07</w:t>
      </w:r>
      <w:r>
        <w:rPr/>
        <w:tab/>
      </w:r>
      <w:r>
        <w:rPr>
          <w:rStyle w:val="VEBold"/>
        </w:rPr>
        <w:t>Vacation and Sick Leave.</w:t>
      </w:r>
      <w:r>
        <w:rPr/>
        <w:t xml:space="preserve">  Buyer shall cause the Company to grant paid vacation and sick leave to the Transferred Seller Employees in accordance with Buyer’s current practices and policies for similarly situated employees; </w:t>
      </w:r>
      <w:r>
        <w:rPr>
          <w:rStyle w:val="VEItalic"/>
        </w:rPr>
        <w:t>provided, however,</w:t>
      </w:r>
      <w:r>
        <w:rPr/>
        <w:t xml:space="preserve"> that Buyer shall cause the Company to establish its vacation policy to provide that each Transferred Seller Employee shall continue to be entitled to enjoy annual paid vacation at least equal to the annual paid vacation which the Transferred Seller Employee had earned or accrued as of his or her Employment Commencement Date; provided, further, that Seller shall reimburse Buyer for its costs allocated to such earned or accrued vacation time.  For the portion of the calendar year following the Closing Date in which the Closing Date occurs, the vacation and sick pay provided by the Company to the Transferred Seller Employees shall be determined with appropriate debits for vacation and sick pay days taken by such Transferred Seller Employees for the portion of such calendar year preceding the Closing Date under the vacation and sick pay programs of Seller.  </w:t>
      </w:r>
    </w:p>
    <w:p>
      <w:pPr>
        <w:pStyle w:val="VEBodyText"/>
        <w:ind w:firstLine="720" w:end="0"/>
        <w:rPr/>
      </w:pPr>
      <w:r>
        <w:rPr>
          <w:rStyle w:val="VEBold"/>
        </w:rPr>
        <w:t>2.08</w:t>
      </w:r>
      <w:r>
        <w:rPr/>
        <w:tab/>
      </w:r>
      <w:r>
        <w:rPr>
          <w:rStyle w:val="VEBold"/>
        </w:rPr>
        <w:t>Liabilities and Indemnities.</w:t>
      </w:r>
    </w:p>
    <w:p>
      <w:pPr>
        <w:pStyle w:val="VEBodyText"/>
        <w:ind w:firstLine="720" w:end="0"/>
        <w:rPr/>
      </w:pPr>
      <w:r>
        <w:rPr/>
        <w:t>(a)</w:t>
        <w:tab/>
        <w:t>Any obligation under any employee welfare benefit plan of Seller or its Affiliates, to pay claims – including, without limitation, claims for health, dental, life, accidental death, disability, and related benefits – for services rendered prior to, on, or after the Closing Date with respect to a Seller Employee (other than a Transferred Seller Employee), his or her spouse, or his or her dependents or beneficiaries, shall remain the responsibility of Seller and its Affiliates, or of the carrier or carriers under the employee welfare benefit plan of Seller and its Affiliates.  Any obligation under any employee welfare benefit plan of Seller and its Affiliates, to pay claims – including, without limitation, claims for health, dental, life, accidental death, disability, and related benefits – for services rendered prior to the Employment Commencement Date with respect to a Transferred Seller Employee, his or her spouse, or his or her dependents or beneficiaries, shall remain the responsibility of Seller and its Affiliates, or of the carrier or carriers under the employee welfare benefit plan of Seller and its Affiliates.  Any obligation under an employee welfare benefit plan of Buyer, the Company, and their Affiliates to pay claims – including, without limitation, claims for health, dental, life, accidental death, disability, and related benefits – for services rendered on or after the Employment Commencement Date with respect to a Transferred Seller Employee, his or her spouse, or his or her dependents or beneficiaries, shall be the responsibility of Buyer, the Company, and their Affiliates, or of the carrier or carriers under the employee welfare benefit plan of Buyer, the Company, and their Affiliates.</w:t>
      </w:r>
    </w:p>
    <w:p>
      <w:pPr>
        <w:pStyle w:val="VEBodyText"/>
        <w:ind w:firstLine="720" w:end="0"/>
        <w:rPr/>
      </w:pPr>
      <w:r>
        <w:rPr/>
        <w:t>(b)</w:t>
        <w:tab/>
        <w:t>Seller and its Affiliates shall have no liability under Title X of the Consolidated Omnibus Budget Reconciliation Act of 1985, as amended (“</w:t>
      </w:r>
      <w:r>
        <w:rPr>
          <w:rStyle w:val="VEBold"/>
        </w:rPr>
        <w:t>COBRA</w:t>
      </w:r>
      <w:r>
        <w:rPr/>
        <w:t>”) with respect to any continuation coverage under any medical or health plan of Buyer, the Company or their Affiliates for Transferred Seller Employees, their spouses, their dependents and beneficiaries.  Buyer, the Company, and their Affiliates shall have no liability under Title X of COBRA with respect to any continuation coverage under any medical or health plans of Seller or its Affiliates for those Seller Employees who do not become Transferred Seller Employees, their spouses, their dependents and beneficiaries.</w:t>
      </w:r>
    </w:p>
    <w:p>
      <w:pPr>
        <w:pStyle w:val="VEBodyText"/>
        <w:ind w:firstLine="720" w:end="0"/>
        <w:rPr/>
      </w:pPr>
      <w:r>
        <w:rPr/>
        <w:t>(c)</w:t>
        <w:tab/>
        <w:t>To the maximum extent permitted by applicable law, Seller shall defend, indemnify, and hold Buyer, the Company, and their Affiliates harmless from and against any and all damages arising out of:  (1) claims by Seller Employees (other than the Transferred Seller Employees) that arise prior to, on, or after the Closing Date and relate to their employment with, or the termination of their employment from, Seller or its Affiliates; (2) claims by the Transferred Seller Employees that arise on or prior to their respective Employment Commencement Dates and that relate to their employment with, or the termination of their employment from, Seller or its Affiliates; (3) any claims that arise under any employee arrangements with, or employee benefit plans of, Seller or its Affiliates; and (4) any claims resulting from Seller’s or the Company’s affiliation with any member of the Seller’s controlled group of companies, defined as any organization which is a member of a controlled group of organizations within the meaning of Sections 414(b), (c), (m) or (o) of the Code.</w:t>
      </w:r>
    </w:p>
    <w:p>
      <w:pPr>
        <w:pStyle w:val="VEBodyText"/>
        <w:ind w:firstLine="720" w:end="0"/>
        <w:rPr/>
      </w:pPr>
      <w:r>
        <w:rPr/>
        <w:t>(d)</w:t>
        <w:tab/>
        <w:t>To the maximum extent permitted by applicable law, Buyer, the Company, and their Affiliates shall defend, indemnify, and hold Seller harmless from and against any and all damages arising out of:  (1) claims by the Transferred Seller Employees that arise after the Closing Date and that relate to their employment with, or the termination of their employment from, Buyer, the Company, and their Affiliates other than claims arising under any employment arrangements with, or employee benefit plans of, Seller or its Affiliates, except as otherwise expressly provided herein; and (2) any claims under the employee benefit plans, programs, policies, and practices of Buyer, the Company and their Affiliates.</w:t>
      </w:r>
    </w:p>
    <w:p>
      <w:pPr>
        <w:pStyle w:val="VEBodyText"/>
        <w:ind w:firstLine="720" w:end="0"/>
        <w:rPr/>
      </w:pPr>
      <w:r>
        <w:rPr/>
        <w:t>(e)</w:t>
        <w:tab/>
        <w:t>With respect to all workers’ compensation (hereinafter “</w:t>
      </w:r>
      <w:r>
        <w:rPr>
          <w:rStyle w:val="VEBold"/>
        </w:rPr>
        <w:t>Compensation Claims</w:t>
      </w:r>
      <w:r>
        <w:rPr/>
        <w:t>”) filed with an appropriate agency by any Transferred Seller Employee employed by Seller or any of its Affiliates immediately prior to his or her Employment Commencement Date and thereafter employed by Buyer, the Company, or any of their Affiliates (such employees are, for purposes of this paragraph, hereinafter collectively referred to as “</w:t>
      </w:r>
      <w:r>
        <w:rPr>
          <w:rStyle w:val="VEBold"/>
        </w:rPr>
        <w:t>Claiming Employee</w:t>
      </w:r>
      <w:r>
        <w:rPr/>
        <w:t>”), or by the spouse, dependent(s) or personal representative of such Claiming Employee which is first filed after the Closing Date, (1) Seller shall process, defend, and be responsible for, and shall indemnify Buyer, the Company, or any of their Affiliates against any such Compensation Claim if the incident or alleged incident giving rise to the claim occurred prior to the Transferred Seller Employee’s Employment Commencement Date, (2) Buyer shall process, defend, and be responsible for, and shall indemnify Seller and its Affiliates against any such Compensation Claim if the incident or alleged incident giving rise to the claim occurred on or after the Transferred Seller Employee’s Employment Commencement Date, and (3) in the event any such Compensation Claim is filed after the Closing Date and the incident or alleged incident giving rise to the claim occurred before, on or after the Transferred Seller Employee’s Employment Commencement Date, Buyer shall---in consultation with Seller and taking into account Seller’s reasonable suggestions---process such claim (and Seller shall reimburse Buyer for its allocable cost of defense), and the liability for such claim as between the Parties based upon the length of exposure of the Claiming Employee to the product, practice, condition or other circumstance claimed to have been the cause of the incident or alleged incident.  Thus, as between the Parties, the proportionate share of liability shall equal a fraction, the denominator of which shall be the Claiming Employee’s total length of exposure to the product, practice, condition or other circumstance claimed to have been the cause of the incident or alleged incident while employed by Buyer, the Company, or any of their Affiliates and Seller and its Affiliates, and the numerator of which shall be, in the case of Buyer, the Claiming Employee’s total length of exposure while employed by Buyer, the Company, or any of their Affiliates, and in the case of Seller, the Claiming Employee’s total length of exposure while employed by Seller and its Affiliates.</w:t>
      </w:r>
    </w:p>
    <w:p>
      <w:pPr>
        <w:pStyle w:val="VEBodyText"/>
        <w:rPr/>
      </w:pPr>
      <w:r>
        <w:rPr>
          <w:rStyle w:val="VEBold"/>
        </w:rPr>
        <w:t>Article 3.</w:t>
      </w:r>
      <w:r>
        <w:rPr/>
        <w:t xml:space="preserve">  </w:t>
      </w:r>
      <w:r>
        <w:rPr>
          <w:rStyle w:val="VEBold"/>
        </w:rPr>
        <w:t>No Third Party Beneficiaries.</w:t>
      </w:r>
      <w:r>
        <w:rPr/>
        <w:t xml:space="preserve">  Nothing in this Agreement shall entitle any person other than the Parties hereto, their successors and permitted assigns to any claims, causes of action, remedy or right of any kind against Seller and its Affiliates.  Nothing in this Agreement shall entitle any person other than the Parties hereto, their successors and permitted assigns to any claims, causes of action, remedy or right of any kind against Buyer, the Company, or any of their Affiliates.</w:t>
      </w:r>
    </w:p>
    <w:p>
      <w:pPr>
        <w:pStyle w:val="VEBodyText"/>
        <w:ind w:firstLine="720" w:end="0"/>
        <w:rPr/>
      </w:pPr>
      <w:r>
        <w:rPr>
          <w:b/>
          <w:bCs/>
        </w:rPr>
        <w:t>IN WITNESS WHEREOF</w:t>
      </w:r>
      <w:r>
        <w:rPr/>
        <w:t>, this Agreement has been executed by duly authorized representatives of each of the Parties as of the date first above written.</w:t>
      </w:r>
    </w:p>
    <w:p>
      <w:pPr>
        <w:pStyle w:val="VEBodyText"/>
        <w:rPr/>
      </w:pPr>
      <w:r>
        <w:rPr/>
      </w:r>
    </w:p>
    <w:p>
      <w:pPr>
        <w:pStyle w:val="VEBodyText"/>
        <w:rPr>
          <w:b/>
          <w:bCs/>
        </w:rPr>
      </w:pPr>
      <w:r>
        <w:rPr>
          <w:b/>
          <w:bCs/>
        </w:rPr>
        <w:t>ENRON CORP.</w:t>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
        <w:rPr>
          <w:rStyle w:val="VEUnderline"/>
          <w:u w:val="none"/>
        </w:rPr>
      </w:pPr>
      <w:r>
        <w:rPr/>
      </w:r>
    </w:p>
    <w:p>
      <w:pPr>
        <w:pStyle w:val="VEBodyText"/>
        <w:rPr>
          <w:b/>
          <w:bCs/>
        </w:rPr>
      </w:pPr>
      <w:r>
        <w:rPr>
          <w:b/>
          <w:bCs/>
        </w:rPr>
        <w:t>GEORGIA-PACIFIC CORPORATION</w:t>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NoSpace"/>
        <w:rPr>
          <w:rStyle w:val="VEUnderline"/>
          <w:u w:val="none"/>
        </w:rPr>
      </w:pPr>
      <w:r>
        <w:rPr/>
      </w:r>
    </w:p>
    <w:p>
      <w:pPr>
        <w:pStyle w:val="VEBodyText"/>
        <w:rPr>
          <w:rStyle w:val="VEUnderline"/>
          <w:u w:val="none"/>
        </w:rPr>
      </w:pPr>
      <w:r>
        <w:rPr/>
      </w:r>
    </w:p>
    <w:p>
      <w:pPr>
        <w:pStyle w:val="VEBodyTextNoSpace"/>
        <w:rPr>
          <w:rStyle w:val="VEDocumentInformation"/>
          <w:lang w:val="en-CA" w:eastAsia="en-CA"/>
        </w:rPr>
      </w:pPr>
      <w:r>
        <w:rPr/>
      </w:r>
    </w:p>
    <w:p>
      <w:pPr>
        <w:pStyle w:val="VEBodyText"/>
        <w:spacing w:before="0" w:after="24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Human_Resources_Agreement.DOC</w:t>
      </w:r>
      <w:r>
        <w:rPr>
          <w:rStyle w:val="VEDocumentInformation"/>
        </w:rPr>
        <w:fldChar w:fldCharType="end"/>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firstLine="1440" w:start="720" w:end="720"/>
    </w:pPr>
    <w:rPr/>
  </w:style>
  <w:style w:type="paragraph" w:styleId="VEBodyTextLeftIndent1">
    <w:name w:val="VE Body Text Left Indent 1"/>
    <w:basedOn w:val="VENormal"/>
    <w:qFormat/>
    <w:pPr>
      <w:spacing w:before="0" w:after="240"/>
      <w:ind w:firstLine="720" w:start="1440" w:end="720"/>
    </w:pPr>
    <w:rPr/>
  </w:style>
  <w:style w:type="paragraph" w:styleId="VEBodyTextNoSpace">
    <w:name w:val="VE Body Text No Space"/>
    <w:basedOn w:val="VENormal"/>
    <w:qFormat/>
    <w:pPr/>
    <w:rPr/>
  </w:style>
  <w:style w:type="paragraph" w:styleId="BTL1">
    <w:name w:val="BTL1"/>
    <w:basedOn w:val="VEBodyTextLeftIndent5"/>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btfi1">
    <w:name w:val="btfi1"/>
    <w:basedOn w:val="VEBodyTextFLI1"/>
    <w:qFormat/>
    <w:pPr>
      <w:ind w:firstLine="1440" w:start="720" w:end="0"/>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2001-09-21T19:18:00Z</dcterms:created>
  <dc:creator> </dc:creator>
  <dc:description/>
  <dc:language>en-CA</dc:language>
  <cp:lastModifiedBy>V&amp;E</cp:lastModifiedBy>
  <cp:lastPrinted>2001-09-21T16:48:00Z</cp:lastPrinted>
  <dcterms:modified xsi:type="dcterms:W3CDTF">2001-09-21T19:18:00Z</dcterms:modified>
  <cp:revision>2</cp:revision>
  <dc:subject/>
  <dc:title>This Human Resources Agreement dated this 28th day of February, 2001, is made between Shell Oil Company, a Delaware corporatio</dc:title>
</cp:coreProperties>
</file>