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center"/>
        <w:rPr>
          <w:b/>
          <w:sz w:val="22"/>
        </w:rPr>
      </w:pPr>
      <w:r>
        <w:rPr>
          <w:sz w:val="22"/>
        </w:rPr>
        <w:t>October 5, 2001</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J.M. Huber Corporation</w:t>
      </w:r>
    </w:p>
    <w:p>
      <w:pPr>
        <w:pStyle w:val="Normal"/>
        <w:widowControl/>
        <w:jc w:val="both"/>
        <w:rPr>
          <w:sz w:val="22"/>
        </w:rPr>
      </w:pPr>
      <w:r>
        <w:rPr>
          <w:sz w:val="22"/>
        </w:rPr>
        <w:t>11451 Katy Freeway, Suite 400</w:t>
      </w:r>
    </w:p>
    <w:p>
      <w:pPr>
        <w:pStyle w:val="Normal"/>
        <w:widowControl/>
        <w:jc w:val="both"/>
        <w:rPr>
          <w:sz w:val="22"/>
        </w:rPr>
      </w:pPr>
      <w:r>
        <w:rPr>
          <w:sz w:val="22"/>
        </w:rPr>
        <w:t>Houston, Texas 77079</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bCs/>
          <w:sz w:val="22"/>
        </w:rPr>
        <w:t>Enron North America Corp.</w:t>
      </w:r>
      <w:r>
        <w:rPr>
          <w:sz w:val="22"/>
        </w:rPr>
        <w:t>, a Delaware corporation ("ENA") and</w:t>
      </w:r>
      <w:r>
        <w:rPr>
          <w:b/>
          <w:sz w:val="22"/>
        </w:rPr>
        <w:t xml:space="preserve"> J.M. Huber Corporation</w:t>
      </w:r>
      <w:r>
        <w:rPr>
          <w:sz w:val="22"/>
        </w:rPr>
        <w:t>, a New Jersey corporation ("Huber"), for the capacity release of certain transportation gas capacity and a gas purchase/sale transaction (the "Project").  Huber and ENA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b/>
          <w:bCs/>
          <w:sz w:val="22"/>
        </w:rPr>
        <w:t>Definitive Agreements.</w:t>
        <w:tab/>
      </w:r>
      <w:r>
        <w:rPr>
          <w:sz w:val="22"/>
        </w:rPr>
        <w:t>The Parties will meet to discuss the Project and the necessary agreements relating thereto to work towards the execution of definitive agreements by October ___, 2001.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2"/>
        </w:numPr>
        <w:spacing w:before="120" w:after="0"/>
        <w:ind w:firstLine="810" w:start="-90" w:end="0"/>
        <w:jc w:val="both"/>
        <w:rPr>
          <w:sz w:val="22"/>
        </w:rPr>
      </w:pPr>
      <w:r>
        <w:rPr>
          <w:b/>
          <w:bCs/>
          <w:sz w:val="22"/>
        </w:rPr>
        <w:t>Non-Binding.</w:t>
      </w:r>
      <w:r>
        <w:rPr>
          <w:sz w:val="22"/>
        </w:rPr>
        <w:tab/>
        <w:t>Neither Party is obligated hereunder to enter into any definitive agreement with the other, with respect to the Project.</w:t>
      </w:r>
    </w:p>
    <w:p>
      <w:pPr>
        <w:pStyle w:val="Normal"/>
        <w:widowControl/>
        <w:ind w:start="-86" w:end="0"/>
        <w:jc w:val="both"/>
        <w:rPr>
          <w:sz w:val="22"/>
        </w:rPr>
      </w:pPr>
      <w:r>
        <w:rPr>
          <w:sz w:val="22"/>
        </w:rPr>
      </w:r>
    </w:p>
    <w:p>
      <w:pPr>
        <w:pStyle w:val="BodyText3"/>
        <w:ind w:firstLine="720" w:end="0"/>
        <w:rPr/>
      </w:pPr>
      <w:r>
        <w:rPr/>
        <w:t xml:space="preserve">3.  </w:t>
      </w:r>
      <w:r>
        <w:rPr>
          <w:b/>
          <w:bCs/>
        </w:rPr>
        <w:t>Release of El Paso Capacity.</w:t>
      </w:r>
      <w:r>
        <w:rPr/>
        <w:t xml:space="preserve">  ENA would permanently release ________ MMBtu of transportation capacity (the “Capacity”) on El Paso Natural Gas Company (“El Paso”) to Huber for a term commencing on November 1, 2001 and ending on May 31, 2006.  Such release would be a prearranged capacity release transaction at the maximum rate specificed in El Paso’s FERC approved transportation rates.  </w:t>
      </w:r>
    </w:p>
    <w:p>
      <w:pPr>
        <w:pStyle w:val="BodyText3"/>
        <w:ind w:firstLine="720" w:end="0"/>
        <w:rPr/>
      </w:pPr>
      <w:r>
        <w:rPr/>
        <w:t xml:space="preserve"> </w:t>
      </w:r>
    </w:p>
    <w:p>
      <w:pPr>
        <w:pStyle w:val="BodyText3"/>
        <w:ind w:firstLine="720" w:end="0"/>
        <w:rPr/>
      </w:pPr>
      <w:r>
        <w:rPr/>
        <w:t xml:space="preserve">4.  </w:t>
      </w:r>
      <w:r>
        <w:rPr>
          <w:b/>
          <w:bCs/>
        </w:rPr>
        <w:t>Re-Release of El Paso Capacity.</w:t>
      </w:r>
      <w:r>
        <w:rPr/>
        <w:t xml:space="preserve">  Huber would release the Capacity to ENA for successive one (1) year terms during the term of the gas purchase as set forth in Paragraph 5 below in order for ENA to meet its obligations under such gas purchase.  Such release would be a prearranged capacity release transaction at the maximum rate specificed in El Paso’s FERC approved transportation rates.  </w:t>
      </w:r>
    </w:p>
    <w:p>
      <w:pPr>
        <w:pStyle w:val="BodyText3"/>
        <w:ind w:firstLine="720" w:end="0"/>
        <w:rPr/>
      </w:pPr>
      <w:r>
        <w:rPr/>
      </w:r>
    </w:p>
    <w:p>
      <w:pPr>
        <w:pStyle w:val="BodyText3"/>
        <w:ind w:firstLine="720" w:end="0"/>
        <w:rPr/>
      </w:pPr>
      <w:r>
        <w:rPr/>
      </w:r>
    </w:p>
    <w:p>
      <w:pPr>
        <w:pStyle w:val="BodyText3"/>
        <w:numPr>
          <w:ilvl w:val="0"/>
          <w:numId w:val="2"/>
        </w:numPr>
        <w:rPr/>
      </w:pPr>
      <w:r>
        <w:rPr>
          <w:b/>
          <w:bCs/>
        </w:rPr>
        <w:t>Gas Purchase.</w:t>
      </w:r>
      <w:r>
        <w:rPr/>
        <w:t xml:space="preserve">  ENA would purchase Huber gas in the following packages:</w:t>
      </w:r>
    </w:p>
    <w:p>
      <w:pPr>
        <w:pStyle w:val="BodyText3"/>
        <w:ind w:start="720" w:end="0"/>
        <w:rPr>
          <w:b/>
          <w:bCs/>
        </w:rPr>
      </w:pPr>
      <w:r>
        <w:rPr>
          <w:b/>
          <w:bCs/>
        </w:rPr>
      </w:r>
    </w:p>
    <w:p>
      <w:pPr>
        <w:pStyle w:val="BodyText3"/>
        <w:numPr>
          <w:ilvl w:val="0"/>
          <w:numId w:val="3"/>
        </w:numPr>
        <w:rPr>
          <w:b/>
          <w:bCs/>
        </w:rPr>
      </w:pPr>
      <w:r>
        <w:rPr>
          <w:b/>
          <w:bCs/>
        </w:rPr>
        <w:t xml:space="preserve">DCQ: </w:t>
      </w:r>
      <w:r>
        <w:rPr/>
        <w:t>The quantity of gas scheduled by El Paso at PG&amp;E Topock based on a nomination by ENA of 30,000 MMBtu per day at PG&amp;E Topock</w:t>
      </w:r>
    </w:p>
    <w:p>
      <w:pPr>
        <w:pStyle w:val="BodyText3"/>
        <w:ind w:start="1815" w:end="0"/>
        <w:rPr>
          <w:b/>
          <w:bCs/>
        </w:rPr>
      </w:pPr>
      <w:r>
        <w:rPr>
          <w:b/>
          <w:bCs/>
        </w:rPr>
        <w:t>Price:</w:t>
      </w:r>
    </w:p>
    <w:p>
      <w:pPr>
        <w:pStyle w:val="BodyText3"/>
        <w:ind w:start="1815" w:end="0"/>
        <w:rPr/>
      </w:pPr>
      <w:r>
        <w:rPr>
          <w:b/>
          <w:bCs/>
        </w:rPr>
        <w:t>Delivery Point:</w:t>
      </w:r>
      <w:r>
        <w:rPr/>
        <w:t xml:space="preserve"> PG&amp;E Topock</w:t>
      </w:r>
    </w:p>
    <w:p>
      <w:pPr>
        <w:pStyle w:val="BodyText3"/>
        <w:ind w:start="1815" w:end="0"/>
        <w:rPr>
          <w:b/>
          <w:bCs/>
        </w:rPr>
      </w:pPr>
      <w:r>
        <w:rPr>
          <w:b/>
          <w:bCs/>
        </w:rPr>
        <w:t>Period of Delivery:</w:t>
      </w:r>
    </w:p>
    <w:p>
      <w:pPr>
        <w:pStyle w:val="BodyText3"/>
        <w:rPr/>
      </w:pPr>
      <w:r>
        <w:rPr/>
        <w:tab/>
        <w:tab/>
      </w:r>
    </w:p>
    <w:p>
      <w:pPr>
        <w:pStyle w:val="BodyText3"/>
        <w:numPr>
          <w:ilvl w:val="0"/>
          <w:numId w:val="3"/>
        </w:numPr>
        <w:rPr>
          <w:b/>
          <w:bCs/>
        </w:rPr>
      </w:pPr>
      <w:r>
        <w:rPr>
          <w:b/>
          <w:bCs/>
        </w:rPr>
        <w:t xml:space="preserve">DCQ:  </w:t>
      </w:r>
      <w:r>
        <w:rPr/>
        <w:t>The remaining quantity of gas not scheduled by El Paso at PG&amp;E Topock in Section 3.A. above and scheduled by El Paso at [San Juan] as alternatively nominated by ENA at [San Juan]</w:t>
      </w:r>
    </w:p>
    <w:p>
      <w:pPr>
        <w:pStyle w:val="BodyText3"/>
        <w:ind w:start="1815" w:end="0"/>
        <w:rPr>
          <w:b/>
          <w:bCs/>
        </w:rPr>
      </w:pPr>
      <w:r>
        <w:rPr>
          <w:b/>
          <w:bCs/>
        </w:rPr>
        <w:t>Price:</w:t>
      </w:r>
    </w:p>
    <w:p>
      <w:pPr>
        <w:pStyle w:val="BodyText3"/>
        <w:ind w:start="1815" w:end="0"/>
        <w:rPr/>
      </w:pPr>
      <w:r>
        <w:rPr>
          <w:b/>
          <w:bCs/>
        </w:rPr>
        <w:t xml:space="preserve">Delivery Point:  </w:t>
      </w:r>
      <w:r>
        <w:rPr/>
        <w:t>El Paso Williams-San Ignacio</w:t>
      </w:r>
    </w:p>
    <w:p>
      <w:pPr>
        <w:pStyle w:val="BodyText3"/>
        <w:ind w:start="1815" w:end="0"/>
        <w:rPr>
          <w:b/>
          <w:bCs/>
        </w:rPr>
      </w:pPr>
      <w:r>
        <w:rPr>
          <w:b/>
          <w:bCs/>
        </w:rPr>
        <w:t>Period of Delivery:</w:t>
      </w:r>
    </w:p>
    <w:p>
      <w:pPr>
        <w:pStyle w:val="Normal"/>
        <w:jc w:val="both"/>
        <w:rPr>
          <w:sz w:val="22"/>
        </w:rPr>
      </w:pPr>
      <w:r>
        <w:rPr>
          <w:sz w:val="22"/>
        </w:rPr>
      </w:r>
    </w:p>
    <w:p>
      <w:pPr>
        <w:pStyle w:val="BodyText3"/>
        <w:numPr>
          <w:ilvl w:val="0"/>
          <w:numId w:val="3"/>
        </w:numPr>
        <w:rPr>
          <w:b/>
          <w:bCs/>
        </w:rPr>
      </w:pPr>
      <w:r>
        <w:rPr>
          <w:b/>
          <w:bCs/>
        </w:rPr>
        <w:t xml:space="preserve">DCQ:  </w:t>
      </w:r>
      <w:r>
        <w:rPr/>
        <w:t>10,000 MMBtu per day</w:t>
      </w:r>
    </w:p>
    <w:p>
      <w:pPr>
        <w:pStyle w:val="BodyText3"/>
        <w:ind w:start="1815" w:end="0"/>
        <w:rPr>
          <w:b/>
          <w:bCs/>
        </w:rPr>
      </w:pPr>
      <w:r>
        <w:rPr>
          <w:b/>
          <w:bCs/>
        </w:rPr>
        <w:t>Price:</w:t>
      </w:r>
    </w:p>
    <w:p>
      <w:pPr>
        <w:pStyle w:val="BodyText3"/>
        <w:ind w:start="1815" w:end="0"/>
        <w:rPr>
          <w:b/>
          <w:bCs/>
        </w:rPr>
      </w:pPr>
      <w:r>
        <w:rPr>
          <w:b/>
          <w:bCs/>
        </w:rPr>
        <w:t xml:space="preserve">Delivery Point:  </w:t>
      </w:r>
    </w:p>
    <w:p>
      <w:pPr>
        <w:pStyle w:val="BodyText3"/>
        <w:ind w:start="1815" w:end="0"/>
        <w:rPr>
          <w:b/>
          <w:bCs/>
        </w:rPr>
      </w:pPr>
      <w:r>
        <w:rPr>
          <w:b/>
          <w:bCs/>
        </w:rPr>
        <w:t>Period of Delivery:</w:t>
      </w:r>
    </w:p>
    <w:p>
      <w:pPr>
        <w:pStyle w:val="Normal"/>
        <w:widowControl/>
        <w:spacing w:before="120" w:after="0"/>
        <w:ind w:start="-90" w:end="0"/>
        <w:jc w:val="both"/>
        <w:rPr>
          <w:sz w:val="22"/>
        </w:rPr>
      </w:pPr>
      <w:r>
        <w:rPr>
          <w:sz w:val="22"/>
        </w:rPr>
      </w:r>
    </w:p>
    <w:p>
      <w:pPr>
        <w:pStyle w:val="Normal"/>
        <w:widowControl/>
        <w:spacing w:before="120" w:after="0"/>
        <w:ind w:start="-90" w:end="0"/>
        <w:jc w:val="both"/>
        <w:rPr>
          <w:sz w:val="22"/>
        </w:rPr>
      </w:pPr>
      <w:r>
        <w:rPr>
          <w:sz w:val="22"/>
        </w:rPr>
        <w:t>The gas purchase/sale set forth in this Paragraph 3 would be executed under that certain Enfolio® Master Firm Purchase/Sale agreement between ENA and Huber dated August 1, 2000.</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4"/>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until such time that it becomes clear to either Party that the Project will not be economically viable or otherwise successful; or (ii) October 31, 2001 (the "Term").  The provisions of Section 3, Confidentiality, shall survive any termination of this Agreement, as necessary for them to expire according to their terms as expressed in that section.</w:t>
      </w:r>
    </w:p>
    <w:p>
      <w:pPr>
        <w:pStyle w:val="Normal"/>
        <w:widowControl/>
        <w:numPr>
          <w:ilvl w:val="0"/>
          <w:numId w:val="4"/>
        </w:numPr>
        <w:tabs>
          <w:tab w:val="clear" w:pos="720"/>
        </w:tabs>
        <w:spacing w:before="120" w:after="0"/>
        <w:ind w:firstLine="720" w:start="0" w:end="0"/>
        <w:jc w:val="both"/>
        <w:rPr>
          <w:sz w:val="22"/>
        </w:rPr>
      </w:pPr>
      <w:r>
        <w:rPr>
          <w:b/>
          <w:smallCaps/>
          <w:sz w:val="22"/>
        </w:rPr>
        <w:t>Exclusivity</w:t>
      </w:r>
      <w:r>
        <w:rPr>
          <w:sz w:val="22"/>
        </w:rPr>
        <w:t>.  In consideration of the efforts to be expended by ENA in undertaking its development of the Project, Huber hereby grants to ENA, for a period beginning on October 4, 2001 and ending on the earlier of (i) October 31, 2001, and (ii) the date of any earlier termination as set out above (the "Exclusivity Period") the exclusive right to pursue the Project with Huber.  During the Exclusivity Period, Huber shall not work with any other persons with regard to the Project or other similar transactions involving Huber’s Hinkle Compressor Station.</w:t>
      </w:r>
    </w:p>
    <w:p>
      <w:pPr>
        <w:pStyle w:val="Normal"/>
        <w:widowControl/>
        <w:numPr>
          <w:ilvl w:val="0"/>
          <w:numId w:val="4"/>
        </w:numPr>
        <w:tabs>
          <w:tab w:val="clear" w:pos="720"/>
          <w:tab w:val="left" w:pos="0" w:leader="none"/>
        </w:tabs>
        <w:spacing w:before="120" w:after="0"/>
        <w:ind w:firstLine="720" w:start="0" w:end="0"/>
        <w:jc w:val="both"/>
        <w:rPr>
          <w:sz w:val="22"/>
        </w:rPr>
      </w:pPr>
      <w:r>
        <w:rPr>
          <w:b/>
          <w:smallCaps/>
          <w:sz w:val="22"/>
        </w:rPr>
        <w:t>Confidentiality</w:t>
      </w:r>
      <w:r>
        <w:rPr>
          <w:sz w:val="22"/>
        </w:rPr>
        <w:t>.  (a)  For a period beginning on the date of this Agreement and ending one (1) year after the expiration of the Term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Project.</w:t>
      </w:r>
    </w:p>
    <w:p>
      <w:pPr>
        <w:pStyle w:val="Normal"/>
        <w:widowControl/>
        <w:spacing w:before="120" w:after="0"/>
        <w:ind w:firstLine="720" w:end="0"/>
        <w:jc w:val="both"/>
        <w:rPr>
          <w:sz w:val="22"/>
        </w:rPr>
      </w:pPr>
      <w:r>
        <w:rPr>
          <w:sz w:val="22"/>
        </w:rPr>
        <w:t>(b)</w:t>
        <w:tab/>
        <w:t>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widowControl/>
        <w:spacing w:before="120" w:after="0"/>
        <w:ind w:firstLine="720" w:end="0"/>
        <w:jc w:val="both"/>
        <w:rPr>
          <w:sz w:val="22"/>
        </w:rPr>
      </w:pPr>
      <w:r>
        <w:rPr>
          <w:sz w:val="22"/>
        </w:rPr>
        <w:t>(c)</w:t>
        <w:tab/>
        <w:t>Confidential information shall be identified in writing as such by the Party claiming confidentiality, and shall include the existence of this Agreement, its contents, and negotiations under this Agreement.</w:t>
      </w:r>
    </w:p>
    <w:p>
      <w:pPr>
        <w:pStyle w:val="Normal"/>
        <w:widowControl/>
        <w:numPr>
          <w:ilvl w:val="0"/>
          <w:numId w:val="4"/>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4"/>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4"/>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upper management, or other governing body, shall have approved the definitive agreement, (b) such Party shall have executed the definitive agreement, and (c) all conditions precedent to the effectiveness of any such definitive agreement shall have been satisfied.</w:t>
      </w:r>
    </w:p>
    <w:p>
      <w:pPr>
        <w:pStyle w:val="Normal"/>
        <w:widowControl/>
        <w:numPr>
          <w:ilvl w:val="0"/>
          <w:numId w:val="4"/>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4"/>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4"/>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4"/>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4"/>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4"/>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Huber's sole, joint or concurrent negligence), but rather shall be liable only for direct actual damages arising from the breaching Party's willful breach or sole, joint or concurrent negligence.</w:t>
      </w:r>
    </w:p>
    <w:p>
      <w:pPr>
        <w:pStyle w:val="Normal"/>
        <w:widowControl/>
        <w:numPr>
          <w:ilvl w:val="0"/>
          <w:numId w:val="4"/>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BodyTextIndent2"/>
        <w:rPr/>
      </w:pPr>
      <w:r>
        <w:rPr/>
        <w:t>ENRON COMPRESSION SERVICES COMPANY</w:t>
      </w:r>
    </w:p>
    <w:p>
      <w:pPr>
        <w:pStyle w:val="Normal"/>
        <w:widowControl/>
        <w:tabs>
          <w:tab w:val="clear" w:pos="720"/>
          <w:tab w:val="left" w:pos="9360" w:leader="none"/>
        </w:tabs>
        <w:ind w:start="5040" w:end="0"/>
        <w:jc w:val="both"/>
        <w:rPr>
          <w:sz w:val="22"/>
        </w:rPr>
      </w:pPr>
      <w:r>
        <w:rPr>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October, 2001.</w:t>
      </w:r>
    </w:p>
    <w:p>
      <w:pPr>
        <w:pStyle w:val="Normal"/>
        <w:widowControl/>
        <w:spacing w:before="240" w:after="0"/>
        <w:jc w:val="both"/>
        <w:rPr>
          <w:b/>
          <w:sz w:val="22"/>
        </w:rPr>
      </w:pPr>
      <w:r>
        <w:rPr>
          <w:b/>
          <w:sz w:val="22"/>
        </w:rPr>
        <w:t>J.M. HUBER CORPORATION</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/mnt/main-storage/datasets/enron-docs/doc/HuberlLOI.doc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/mnt/main-storage/datasets/enron-docs/doc/HuberlLOI.doc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J.M. Huber Corporation</w:t>
    </w:r>
  </w:p>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October 5,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upperLetter"/>
      <w:lvlText w:val="%1."/>
      <w:lvlJc w:val="start"/>
      <w:pPr>
        <w:tabs>
          <w:tab w:val="num" w:pos="1815"/>
        </w:tabs>
        <w:ind w:start="1815" w:hanging="375"/>
      </w:pPr>
      <w:rPr/>
    </w:lvl>
  </w:abstractNum>
  <w:abstractNum w:abstractNumId="4">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0">
    <w:name w:val="WW8Num8z0"/>
    <w:qFormat/>
    <w:rPr/>
  </w:style>
  <w:style w:type="character" w:styleId="WW8Num9z0">
    <w:name w:val="WW8Num9z0"/>
    <w:qFormat/>
    <w:rPr>
      <w:rFonts w:ascii="Times New Roman" w:hAnsi="Times New Roman" w:eastAsia="Times New Roman" w:cs="Times New Roman"/>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2">
    <w:name w:val="Body Text 2"/>
    <w:basedOn w:val="Normal"/>
    <w:qFormat/>
    <w:pPr>
      <w:jc w:val="both"/>
    </w:pPr>
    <w:rPr>
      <w:b/>
      <w:bCs/>
      <w:color w:val="FF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2001-10-05T13:58:00Z</dcterms:created>
  <dc:creator>ECT</dc:creator>
  <dc:description/>
  <dc:language>en-CA</dc:language>
  <cp:lastModifiedBy>gnemec</cp:lastModifiedBy>
  <cp:lastPrinted>2001-10-03T09:52:00Z</cp:lastPrinted>
  <dcterms:modified xsi:type="dcterms:W3CDTF">2001-10-05T16:52:00Z</dcterms:modified>
  <cp:revision>8</cp:revision>
  <dc:subject/>
  <dc:title>[ECT Letterhead]</dc:title>
</cp:coreProperties>
</file>