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sz w:val="20"/>
        </w:rPr>
      </w:pPr>
      <w:r>
        <w:rPr>
          <w:sz w:val="20"/>
        </w:rPr>
      </w:r>
    </w:p>
    <w:p>
      <w:pPr>
        <w:pStyle w:val="Heading"/>
        <w:ind w:firstLine="720" w:start="720" w:end="0"/>
        <w:rPr>
          <w:rFonts w:ascii="Times New Roman" w:hAnsi="Times New Roman" w:cs="Times New Roman"/>
          <w:b w:val="false"/>
        </w:rPr>
      </w:pPr>
      <w:r>
        <w:rPr>
          <w:rFonts w:cs="Times New Roman" w:ascii="Times New Roman" w:hAnsi="Times New Roman"/>
          <w:b w:val="false"/>
          <w:sz w:val="32"/>
        </w:rPr>
        <w:t>ENRON NORTH AMERICA CORP.</w:t>
      </w:r>
    </w:p>
    <w:p>
      <w:pPr>
        <w:pStyle w:val="Normal"/>
        <w:rPr>
          <w:rFonts w:ascii="Times New Roman" w:hAnsi="Times New Roman" w:cs="Times New Roman"/>
          <w:b/>
        </w:rPr>
      </w:pPr>
      <w:r>
        <w:rPr>
          <w:rFonts w:cs="Times New Roman"/>
          <w:b/>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August 17,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which expansion is the subject of the Precedent Agreement (hereinafter defined), effective for the delivery Month, for firm transportation service from Cheyenne to Gage, invoiced by Trailblazer, relative to the DCQ and including WIC transportation charges for Trailblazer Full Gas, and (ii) the FERC-approved rate schedule for the WIC Transport, effective for the delivery Month, invoiced by WIC relative to the DCQ.  The Transport Charges shall include, but not be limited to, demand charges, commodity charges,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ending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_________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e amended or extened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/mnt/main-storage/datasets/enron-docs/doc/Hubercrfm-55d633321fbf31f23709eee60fa472e964c8a923dce019c66cfb348617ba1671.doc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August 17,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2000-08-17T17:02:00Z</dcterms:created>
  <dc:creator>dhyvl</dc:creator>
  <dc:description/>
  <dc:language>en-CA</dc:language>
  <cp:lastModifiedBy>dperlin</cp:lastModifiedBy>
  <cp:lastPrinted>2000-08-17T17:46:00Z</cp:lastPrinted>
  <dcterms:modified xsi:type="dcterms:W3CDTF">2000-08-22T20:33:00Z</dcterms:modified>
  <cp:revision>11</cp:revision>
  <dc:subject/>
  <dc:title>June 1,  2000</dc:title>
</cp:coreProperties>
</file>