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10,325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FERC-approved rate schedule for the WIC Transport,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in-service date of the CIG expansion under the Precedent Agreements and ending on the fifth (5</w:t>
      </w:r>
      <w:r>
        <w:rPr>
          <w:rFonts w:cs="Arial Narrow" w:ascii="Arial Narrow" w:hAnsi="Arial Narrow"/>
          <w:sz w:val="19"/>
          <w:vertAlign w:val="superscript"/>
        </w:rPr>
        <w:t>th</w:t>
      </w:r>
      <w:r>
        <w:rPr>
          <w:rFonts w:cs="Arial Narrow" w:ascii="Arial Narrow" w:hAnsi="Arial Narrow"/>
          <w:sz w:val="19"/>
        </w:rPr>
        <w:t>) anniversary thereof</w:t>
      </w:r>
      <w:r>
        <w:rPr>
          <w:rFonts w:cs="Arial Narrow" w:ascii="Arial Narrow" w:hAnsi="Arial Narrow"/>
          <w:i/>
          <w:sz w:val="19"/>
        </w:rPr>
        <w:t xml:space="preserve">.  </w:t>
      </w:r>
      <w:r>
        <w:rPr>
          <w:rFonts w:cs="Arial Narrow" w:ascii="Arial Narrow" w:hAnsi="Arial Narrow"/>
          <w:iCs/>
          <w:sz w:val="19"/>
        </w:rPr>
        <w:t>If the in-service date of CIG expansion under the Precedent Agreements is earlier than the in-service date of the WIC Medicine Bow Loop expansion, then the Delivery Point hereunder for that time period between the earlier CIG expansion in-service date under the Precedent Agreements and the WIC Medicine Bow Loop expansion in-service date shall become Cheyenne (Rockport) and the Contract Price hereunder shall reflect only deductions for the CIG transport charge portion of the Transport Charges.  Upon the in-service date of the WIC Medicine Bow Loop expansion the Contract Price hereunder will reflect deductions for all the Transport Charges as defined herein.</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Larkin)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10,000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/mnt/main-storage/datasets/enron-docs/doc/Huber_CIG_confirm3.doc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September 25,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2000-09-25T18:04:00Z</dcterms:created>
  <dc:creator>dhyvl</dc:creator>
  <dc:description/>
  <dc:language>en-CA</dc:language>
  <cp:lastModifiedBy>gnemec</cp:lastModifiedBy>
  <cp:lastPrinted>2000-09-25T13:10:00Z</cp:lastPrinted>
  <dcterms:modified xsi:type="dcterms:W3CDTF">2000-09-25T18:04:00Z</dcterms:modified>
  <cp:revision>2</cp:revision>
  <dc:subject/>
  <dc:title>June 1,  2000</dc:title>
</cp:coreProperties>
</file>