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September 25,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__________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 plus Fuel Gas).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 $0.30 demand charge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from Cheyenne to Forgan, invoiced by CIG, relative to the DCQ and including WIC transportation charges for CIG Fuel Gas, and (ii) the FERC-approved rate schedule for the WIC Transport, effective for the delivery Month, invoiced by WIC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the in-service date of the CIG expansion under the Precedent Agreements and ending on the fifth (5</w:t>
      </w:r>
      <w:r>
        <w:rPr>
          <w:rFonts w:cs="Arial Narrow" w:ascii="Arial Narrow" w:hAnsi="Arial Narrow"/>
          <w:sz w:val="19"/>
          <w:vertAlign w:val="superscript"/>
        </w:rPr>
        <w:t>th</w:t>
      </w:r>
      <w:r>
        <w:rPr>
          <w:rFonts w:cs="Arial Narrow" w:ascii="Arial Narrow" w:hAnsi="Arial Narrow"/>
          <w:sz w:val="19"/>
        </w:rPr>
        <w:t>) anniversary thereof</w:t>
      </w:r>
      <w:r>
        <w:rPr>
          <w:rFonts w:cs="Arial Narrow" w:ascii="Arial Narrow" w:hAnsi="Arial Narrow"/>
          <w:i/>
          <w:sz w:val="19"/>
        </w:rPr>
        <w:t xml:space="preserve">.  </w:t>
      </w:r>
      <w:r>
        <w:rPr>
          <w:rFonts w:cs="Arial Narrow" w:ascii="Arial Narrow" w:hAnsi="Arial Narrow"/>
          <w:iCs/>
          <w:sz w:val="19"/>
        </w:rPr>
        <w:t>If the in-service date of CIG expansion under the Precedent Agreements is earlier than the in-service date of the WIC Medicine Bow Loop expansion, then the Delivery Point hereunder for that time period between the earlier CIG expansion in-service date under the Precedent Agreements and the WIC Medicine Bow Loop expansion in-service date shall become Cheyenne (Rockport) and the Contract Price hereunder shall reflect only deductions for the CIG transport charge portion of the Transport Charges.  Upon the in-service date of the WIC Medicine Bow Loop expansion the Contract Price hereunder will reflect deductions for all the Transport Charges as defined herein.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Larkin)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CIG’s associated capacity allocation process for its expansion under the Precedent Agreement,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and Customer shall assume all of Company rights and obligations under the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10,000 mmbtu Per Day of transportation capacity from Company under the WIC FT Agreement for the Period of Delivery specified under this Transaction Agreement. (Transaction No. 2).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Customer shall take such assignment upon written notice from Company to Customer.</w:t>
      </w:r>
    </w:p>
    <w:p>
      <w:pPr>
        <w:pStyle w:val="BodyTextIndent2"/>
        <w:rPr>
          <w:iCs/>
        </w:rPr>
      </w:pPr>
      <w:r>
        <w:rPr>
          <w:iCs/>
        </w:rPr>
      </w:r>
    </w:p>
    <w:p>
      <w:pPr>
        <w:pStyle w:val="BodyTextIndent2"/>
        <w:rPr/>
      </w:pPr>
      <w:r>
        <w:rPr>
          <w:iCs/>
        </w:rPr>
        <w:t>4.  Customer agrees to take assignment from Company or accept Company’s release of 35,000 mmbtu Per Day of transportation capacity from Company under the WIC FT Agreement for the Period of Delivery specified under that certain Transaction Agreement. (Transaction No. 1) between Buyer and Seller to that certain.</w:t>
      </w:r>
      <w:r>
        <w:rPr/>
        <w:t xml:space="preserve"> ENFOLIO Master Firm Purchase/Sale Agreement in effect between Customer and Company (“Transaction No. 1”).</w:t>
      </w:r>
      <w:r>
        <w:rPr>
          <w:iCs/>
        </w:rPr>
        <w:t xml:space="preserve"> Customer shall take such assignment upon written notice from Company to Customer.</w:t>
      </w:r>
    </w:p>
    <w:p>
      <w:pPr>
        <w:pStyle w:val="BodyTextIndent2"/>
        <w:rPr>
          <w:iCs/>
        </w:rPr>
      </w:pPr>
      <w:r>
        <w:rPr>
          <w:iCs/>
        </w:rPr>
      </w:r>
    </w:p>
    <w:p>
      <w:pPr>
        <w:pStyle w:val="BodyTextIndent2"/>
        <w:rPr>
          <w:iCs/>
        </w:rPr>
      </w:pPr>
      <w:r>
        <w:rPr>
          <w:iCs/>
        </w:rPr>
        <w:t>Customer agrees to release back to Buyer (all the capacity assigned or released to Seller under items 1 thru 4 above for the applicable periods of time) for a one (1) year term, on an annual basis to enable Buyer to perform the purchase obligations that have been contracted for under this Transaction Agreement (Transaction No. 2) and Transaction No. 1.  Such annual release shall begin on the date specified in the written notice from Buyer to Seller in items 1 thru 4 above and occur on each anniversary thereof.</w:t>
      </w:r>
    </w:p>
    <w:p>
      <w:pPr>
        <w:pStyle w:val="BodyTextIndent2"/>
        <w:rPr>
          <w:iCs/>
        </w:rPr>
      </w:pPr>
      <w:r>
        <w:rPr>
          <w:iCs/>
        </w:rPr>
      </w:r>
    </w:p>
    <w:p>
      <w:pPr>
        <w:pStyle w:val="BodyTextIndent2"/>
        <w:rPr>
          <w:iCs/>
        </w:rPr>
      </w:pPr>
      <w:r>
        <w:rPr>
          <w:iCs/>
        </w:rPr>
        <w:t>All assignment or releases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/mnt/main-storage/datasets/enron-docs/doc/Huber_CIG_confirm1.doc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2000-09-25T15:07:00Z</dcterms:created>
  <dc:creator>dhyvl</dc:creator>
  <dc:description/>
  <dc:language>en-CA</dc:language>
  <cp:lastModifiedBy>gnemec</cp:lastModifiedBy>
  <cp:lastPrinted>2000-09-25T13:10:00Z</cp:lastPrinted>
  <dcterms:modified xsi:type="dcterms:W3CDTF">2000-09-25T15:40:00Z</dcterms:modified>
  <cp:revision>7</cp:revision>
  <dc:subject/>
  <dc:title>June 1,  2000</dc:title>
</cp:coreProperties>
</file>