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RELEASE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 of October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xml:space="preserve">”) and </w:t>
      </w:r>
      <w:r>
        <w:rPr>
          <w:bCs/>
        </w:rPr>
        <w:t>Colorado Interstate Gas Company, a ___________ corporation (“</w:t>
      </w:r>
      <w:r>
        <w:rPr>
          <w:bCs/>
          <w:u w:val="single"/>
        </w:rPr>
        <w:t>CIG</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Assignor does hereby assign, transfer and convey all of its rights, obligations and interest under and to that certain Precedent Agreement CIG Expansion from Cheyenne Hub to Forgan, Baker, Lakin between Assignor and CIG dated September 28, 2000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CIG.</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CIG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COLORADO INTERSTATE GAS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Huber_CIG_Assignment.doc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2000-10-16T16:07:00Z</dcterms:created>
  <dc:creator>ECT</dc:creator>
  <dc:description/>
  <dc:language>en-CA</dc:language>
  <cp:lastModifiedBy>gnemec</cp:lastModifiedBy>
  <cp:lastPrinted>2000-10-16T13:58:00Z</cp:lastPrinted>
  <dcterms:modified xsi:type="dcterms:W3CDTF">2000-10-18T21:15:00Z</dcterms:modified>
  <cp:revision>16</cp:revision>
  <dc:subject/>
  <dc:title>ASSIGNMENT AND ASSUMPTION AGREEMENT</dc:title>
</cp:coreProperties>
</file>