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Hub Agency Discussion 10/20/00</w:t>
      </w:r>
    </w:p>
    <w:p>
      <w:pPr>
        <w:pStyle w:val="Normal"/>
        <w:rPr/>
      </w:pPr>
      <w:r>
        <w:rPr/>
        <w:t>Dave Wear, Gregg Penman, Roy Rodriguez</w:t>
      </w:r>
    </w:p>
    <w:p>
      <w:pPr>
        <w:pStyle w:val="Normal"/>
        <w:rPr/>
      </w:pPr>
      <w:r>
        <w:rPr/>
      </w:r>
    </w:p>
    <w:p>
      <w:pPr>
        <w:pStyle w:val="Normal"/>
        <w:rPr/>
      </w:pPr>
      <w:r>
        <w:rPr/>
        <w:t xml:space="preserve">Following is a summary of the topics discussed.  Included are potential solutions, explanations, and suggested future courses of action.  All items discussed are still subject to final legal and commercial review.  </w:t>
      </w:r>
    </w:p>
    <w:p>
      <w:pPr>
        <w:pStyle w:val="Normal"/>
        <w:rPr/>
      </w:pPr>
      <w:r>
        <w:rPr/>
      </w:r>
    </w:p>
    <w:p>
      <w:pPr>
        <w:pStyle w:val="Normal"/>
        <w:rPr/>
      </w:pPr>
      <w:r>
        <w:rPr/>
        <w:t>1.  Compensation</w:t>
      </w:r>
    </w:p>
    <w:p>
      <w:pPr>
        <w:pStyle w:val="Normal"/>
        <w:rPr/>
      </w:pPr>
      <w:r>
        <w:rPr>
          <w:b/>
          <w:bCs/>
        </w:rPr>
        <w:t>Sharing Percentage.</w:t>
      </w:r>
      <w:r>
        <w:rPr/>
        <w:t xml:space="preserve">  Gregg indicated that the 20% was deleted in order to highlight the need to finalize the transfer price methodology across all lines of business.  He has held subsequent discussions with Tim Hermann to evaluate different methods that would greatly simplify the book keeping of enovate.  More information on this should be forthcoming shortly.</w:t>
      </w:r>
    </w:p>
    <w:p>
      <w:pPr>
        <w:pStyle w:val="Normal"/>
        <w:rPr/>
      </w:pPr>
      <w:r>
        <w:rPr/>
      </w:r>
    </w:p>
    <w:p>
      <w:pPr>
        <w:pStyle w:val="Normal"/>
        <w:rPr/>
      </w:pPr>
      <w:r>
        <w:rPr>
          <w:b/>
          <w:bCs/>
        </w:rPr>
        <w:t>Cumulative Net Revenues.</w:t>
      </w:r>
      <w:r>
        <w:rPr/>
        <w:t xml:space="preserve">  Gregg indicated that net of FERC ordered refunds should be acceptable.  He withheld comment on the enovate fees until the sharing mechanisms were worked out.  </w:t>
      </w:r>
    </w:p>
    <w:p>
      <w:pPr>
        <w:pStyle w:val="Normal"/>
        <w:rPr/>
      </w:pPr>
      <w:r>
        <w:rPr/>
      </w:r>
    </w:p>
    <w:p>
      <w:pPr>
        <w:pStyle w:val="Normal"/>
        <w:rPr/>
      </w:pPr>
      <w:r>
        <w:rPr>
          <w:b/>
          <w:bCs/>
        </w:rPr>
        <w:t xml:space="preserve">Additional Fees. </w:t>
      </w:r>
      <w:r>
        <w:rPr/>
        <w:t>Gregg indicated that it would be acceptable to set a threshold for approval of any additional expenses that enovate may incur outside of the defined categories expected to be performed under the administration fee.  We should make a recommendation as to the type and amount of approvals required.</w:t>
      </w:r>
    </w:p>
    <w:p>
      <w:pPr>
        <w:pStyle w:val="Normal"/>
        <w:rPr/>
      </w:pPr>
      <w:r>
        <w:rPr/>
      </w:r>
    </w:p>
    <w:p>
      <w:pPr>
        <w:pStyle w:val="Normal"/>
        <w:rPr/>
      </w:pPr>
      <w:r>
        <w:rPr>
          <w:b/>
          <w:bCs/>
        </w:rPr>
        <w:t xml:space="preserve">Late Payment.  </w:t>
      </w:r>
      <w:r>
        <w:rPr/>
        <w:t>Gregg indicated that a late payment provision would be acceptable since enovate will be collecting the receivables.  We should suggest language in this regard.</w:t>
      </w:r>
    </w:p>
    <w:p>
      <w:pPr>
        <w:pStyle w:val="Normal"/>
        <w:rPr/>
      </w:pPr>
      <w:r>
        <w:rPr/>
      </w:r>
    </w:p>
    <w:p>
      <w:pPr>
        <w:pStyle w:val="Normal"/>
        <w:rPr/>
      </w:pPr>
      <w:r>
        <w:rPr>
          <w:b/>
          <w:bCs/>
        </w:rPr>
        <w:t xml:space="preserve">Monthly Statement.  </w:t>
      </w:r>
      <w:r>
        <w:rPr/>
        <w:t xml:space="preserve">Gregg indicated that it would be acceptable to revise 3.1 to state that the statement will only address Hub transactions.  </w:t>
      </w:r>
    </w:p>
    <w:p>
      <w:pPr>
        <w:pStyle w:val="Normal"/>
        <w:rPr/>
      </w:pPr>
      <w:r>
        <w:rPr/>
      </w:r>
    </w:p>
    <w:p>
      <w:pPr>
        <w:pStyle w:val="Normal"/>
        <w:rPr/>
      </w:pPr>
      <w:r>
        <w:rPr>
          <w:b/>
          <w:bCs/>
        </w:rPr>
        <w:t>Security Interest.</w:t>
      </w:r>
      <w:r>
        <w:rPr/>
        <w:t xml:space="preserve">  Gregg indicated that his understanding was that even though enovate was holding the receivables in its bank account, the security interest should remain with enovate since Peoples still owns the receivables.  He further indicated that respective legal counsel should be able to clarify this issue rather easily. </w:t>
      </w:r>
    </w:p>
    <w:p>
      <w:pPr>
        <w:pStyle w:val="Normal"/>
        <w:rPr/>
      </w:pPr>
      <w:r>
        <w:rPr/>
      </w:r>
    </w:p>
    <w:p>
      <w:pPr>
        <w:pStyle w:val="Normal"/>
        <w:rPr/>
      </w:pPr>
      <w:r>
        <w:rPr/>
        <w:t>2. Performance</w:t>
      </w:r>
    </w:p>
    <w:p>
      <w:pPr>
        <w:pStyle w:val="Normal"/>
        <w:rPr/>
      </w:pPr>
      <w:r>
        <w:rPr>
          <w:b/>
          <w:bCs/>
        </w:rPr>
        <w:t>Criteria.</w:t>
      </w:r>
      <w:r>
        <w:rPr/>
        <w:t xml:space="preserve">  After much discussion, we struggled to come up with a fair method of measuring performance in isolation of market conditions and the relative performance of non-Hub transactions.  Gregg strongly indicated his desire to not create an artificial termination option if the overall relationship is successful.  We also discussed the possibility of reducing the administration fee for poor performance, but this does not solve the issue of being punished in one area even if the overall relationship is positive.  Further, Gregg indicated that since the agreement does not include guaranteed firm capacity amounts, enovate could face a situation where a termination option is triggered because little or no capacity was made available. </w:t>
      </w:r>
    </w:p>
    <w:p>
      <w:pPr>
        <w:pStyle w:val="Normal"/>
        <w:rPr/>
      </w:pPr>
      <w:r>
        <w:rPr/>
      </w:r>
    </w:p>
    <w:p>
      <w:pPr>
        <w:pStyle w:val="Normal"/>
        <w:rPr/>
      </w:pPr>
      <w:r>
        <w:rPr/>
      </w:r>
    </w:p>
    <w:p>
      <w:pPr>
        <w:pStyle w:val="Normal"/>
        <w:rPr/>
      </w:pPr>
      <w:r>
        <w:rPr/>
        <w:t>3. Standards of Conduct</w:t>
      </w:r>
    </w:p>
    <w:p>
      <w:pPr>
        <w:pStyle w:val="Normal"/>
        <w:rPr/>
      </w:pPr>
      <w:r>
        <w:rPr>
          <w:b/>
          <w:bCs/>
        </w:rPr>
        <w:t>Consistency.</w:t>
      </w:r>
      <w:r>
        <w:rPr/>
        <w:t xml:space="preserve">  Gregg indicated that he did not think there should be a difference in standards between the parties.  He preliminarily suggested that each party be held to a standard of gross negligence.</w:t>
      </w:r>
    </w:p>
    <w:p>
      <w:pPr>
        <w:pStyle w:val="Normal"/>
        <w:rPr/>
      </w:pPr>
      <w:r>
        <w:rPr/>
      </w:r>
    </w:p>
    <w:p>
      <w:pPr>
        <w:pStyle w:val="Normal"/>
        <w:rPr/>
      </w:pPr>
      <w:r>
        <w:rPr>
          <w:b/>
          <w:bCs/>
        </w:rPr>
        <w:t>Performance Obligations.</w:t>
      </w:r>
      <w:r>
        <w:rPr/>
        <w:t xml:space="preserve">  Gregg indicated that his understanding of this issue from his regulatory counsel was that since Peoples is the authorized certificate holder, they must be responsible for compliance with FERC.  He further indicated that it should be acceptable to include additional language that holds enovate responsible for performance under the Agreement and that we should suggest such language.  This was another issue that should be easily resolvable between legal counsels.</w:t>
      </w:r>
    </w:p>
    <w:p>
      <w:pPr>
        <w:pStyle w:val="Normal"/>
        <w:rPr/>
      </w:pPr>
      <w:r>
        <w:rPr/>
      </w:r>
    </w:p>
    <w:p>
      <w:pPr>
        <w:pStyle w:val="Normal"/>
        <w:rPr/>
      </w:pPr>
      <w:r>
        <w:rPr/>
        <w:t>4. Operational Issues</w:t>
      </w:r>
    </w:p>
    <w:p>
      <w:pPr>
        <w:pStyle w:val="Normal"/>
        <w:rPr/>
      </w:pPr>
      <w:r>
        <w:rPr>
          <w:b/>
          <w:bCs/>
        </w:rPr>
        <w:t>Available Capacity.</w:t>
      </w:r>
      <w:r>
        <w:rPr/>
        <w:t xml:space="preserve">  We were not exactly sure about this issue.  Gregg indicated that the intent was that Peoples would make capacity available in accordance with 2.4. After that point, Peoples had whatever rights were included in the GT&amp;C regarding such capacity.  We thought this was probably a legal discussion to clarify the language.</w:t>
      </w:r>
    </w:p>
    <w:p>
      <w:pPr>
        <w:pStyle w:val="Normal"/>
        <w:rPr/>
      </w:pPr>
      <w:r>
        <w:rPr/>
      </w:r>
    </w:p>
    <w:p>
      <w:pPr>
        <w:pStyle w:val="Normal"/>
        <w:rPr/>
      </w:pPr>
      <w:r>
        <w:rPr>
          <w:b/>
          <w:bCs/>
        </w:rPr>
        <w:t xml:space="preserve">Extended Hub Transactions.  </w:t>
      </w:r>
      <w:r>
        <w:rPr/>
        <w:t>Gregg indicated that it would probably be acceptable to allow Peoples to reject Hub transactions that expire more than 6 months after the expiration.  He needed to think more about the types of deals and their timing and said he would get back to me.</w:t>
      </w:r>
    </w:p>
    <w:p>
      <w:pPr>
        <w:pStyle w:val="Normal"/>
        <w:rPr/>
      </w:pPr>
      <w:r>
        <w:rPr/>
      </w:r>
    </w:p>
    <w:p>
      <w:pPr>
        <w:pStyle w:val="Normal"/>
        <w:rPr/>
      </w:pPr>
      <w:r>
        <w:rPr>
          <w:b/>
          <w:bCs/>
        </w:rPr>
        <w:t>Restriction Period.</w:t>
      </w:r>
      <w:r>
        <w:rPr/>
        <w:t xml:space="preserve">  We discussed shortening the restriction period for rejected transactions, but it seemed that 6 months coinciding with the previous time period was administratively beneficial.  More importantly, we assumed that the first screen would be materially similar and that large changes in the market over time would probably not leave many materially similar transactions. Do we need to further define materially similar for this logic to work?</w:t>
      </w:r>
    </w:p>
    <w:p>
      <w:pPr>
        <w:pStyle w:val="Normal"/>
        <w:rPr/>
      </w:pPr>
      <w:r>
        <w:rPr/>
      </w:r>
    </w:p>
    <w:p>
      <w:pPr>
        <w:pStyle w:val="Normal"/>
        <w:rPr/>
      </w:pPr>
      <w:r>
        <w:rPr/>
        <w:t>5. Credit Issues</w:t>
      </w:r>
    </w:p>
    <w:p>
      <w:pPr>
        <w:pStyle w:val="Normal"/>
        <w:rPr/>
      </w:pPr>
      <w:r>
        <w:rPr>
          <w:b/>
          <w:bCs/>
        </w:rPr>
        <w:t>Counterparty Approval.</w:t>
      </w:r>
      <w:r>
        <w:rPr/>
        <w:t xml:space="preserve">  Gregg indicated that he thought the proposed credit policy addresses any ambiguities regarding credit approvals.  By limiting enovate to only transact with preapproved counterparties there would potentially be missed opportunities.  Also, we both felt that having one standard for all enovate transactions would be more manageable.  Gregg suggested he would contact Aparna to get her opinion on the subject since they have been working together on developing the credit policy.</w:t>
      </w:r>
    </w:p>
    <w:p>
      <w:pPr>
        <w:pStyle w:val="Normal"/>
        <w:rPr/>
      </w:pPr>
      <w:r>
        <w:rPr/>
      </w:r>
    </w:p>
    <w:p>
      <w:pPr>
        <w:pStyle w:val="Normal"/>
        <w:rPr/>
      </w:pPr>
      <w:r>
        <w:rPr/>
        <w:t>6. Regulatory Issues</w:t>
      </w:r>
    </w:p>
    <w:p>
      <w:pPr>
        <w:pStyle w:val="Normal"/>
        <w:rPr/>
      </w:pPr>
      <w:r>
        <w:rPr/>
        <w:t xml:space="preserve">Gregg felt that in general these were probably issues that could easily be addressed through a conversation with respective regulatory counsel. </w:t>
      </w:r>
    </w:p>
    <w:p>
      <w:pPr>
        <w:pStyle w:val="Normal"/>
        <w:rPr/>
      </w:pPr>
      <w:r>
        <w:rPr/>
      </w:r>
    </w:p>
    <w:p>
      <w:pPr>
        <w:pStyle w:val="Normal"/>
        <w:rPr/>
      </w:pPr>
      <w:r>
        <w:rPr/>
        <w:t>In conclusion, we felt that another discussion between respective legal counsel was probably warranted to clarify those issues identified above as legal.  Our suggestion is to have a conference call early next week to further pare down the list.</w:t>
      </w:r>
    </w:p>
    <w:p>
      <w:pPr>
        <w:pStyle w:val="Normal"/>
        <w:rPr/>
      </w:pP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2000-10-26T18:16:00Z</dcterms:created>
  <dc:creator>gpenman</dc:creator>
  <dc:description/>
  <dc:language>en-CA</dc:language>
  <cp:lastModifiedBy>gpenman</cp:lastModifiedBy>
  <cp:lastPrinted>2000-10-26T17:37:00Z</cp:lastPrinted>
  <dcterms:modified xsi:type="dcterms:W3CDTF">2000-10-27T10:55:00Z</dcterms:modified>
  <cp:revision>10</cp:revision>
  <dc:subject/>
  <dc:title>Hub Agency Discussion 10/20/00</dc:title>
</cp:coreProperties>
</file>