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embeddings/oleObject2.pptx" ContentType="application/vnd.openxmlformats-officedocument.presentationml.presentation"/>
  <Override PartName="/word/media/image1.wmf" ContentType="image/x-wmf"/>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omic Sans MS" w:hAnsi="Comic Sans MS" w:cs="Comic Sans MS"/>
        </w:rPr>
      </w:pPr>
      <w:r>
        <w:rPr>
          <w:rFonts w:cs="Comic Sans MS" w:ascii="Comic Sans MS" w:hAnsi="Comic Sans MS"/>
        </w:rPr>
        <mc:AlternateContent>
          <mc:Choice Requires="wpg">
            <w:drawing>
              <wp:anchor behindDoc="1" distT="0" distB="0" distL="114935" distR="114935" simplePos="0" locked="0" layoutInCell="0" allowOverlap="1" relativeHeight="2">
                <wp:simplePos x="0" y="0"/>
                <wp:positionH relativeFrom="page">
                  <wp:posOffset>445770</wp:posOffset>
                </wp:positionH>
                <wp:positionV relativeFrom="page">
                  <wp:posOffset>4114800</wp:posOffset>
                </wp:positionV>
                <wp:extent cx="1859280" cy="1859280"/>
                <wp:effectExtent l="0" t="0" r="635" b="635"/>
                <wp:wrapNone/>
                <wp:docPr id="1" name=""/>
                <a:graphic xmlns:a="http://schemas.openxmlformats.org/drawingml/2006/main">
                  <a:graphicData uri="http://schemas.microsoft.com/office/word/2010/wordprocessingGroup">
                    <wpg:wgp>
                      <wpg:cNvGrpSpPr/>
                      <wpg:grpSpPr>
                        <a:xfrm>
                          <a:off x="0" y="0"/>
                          <a:ext cx="1859400" cy="1859400"/>
                          <a:chOff x="0" y="0"/>
                          <a:chExt cx="1859400" cy="1859400"/>
                        </a:xfrm>
                      </wpg:grpSpPr>
                      <wps:wsp>
                        <wps:cNvPr id="2" name=""/>
                        <wps:cNvSpPr/>
                        <wps:spPr>
                          <a:xfrm>
                            <a:off x="0" y="0"/>
                            <a:ext cx="1859400" cy="1859400"/>
                          </a:xfrm>
                          <a:prstGeom prst="ellipse">
                            <a:avLst/>
                          </a:prstGeom>
                          <a:solidFill>
                            <a:srgbClr val="e5e5e5"/>
                          </a:solidFill>
                          <a:ln w="0">
                            <a:noFill/>
                          </a:ln>
                        </wps:spPr>
                        <wps:style>
                          <a:lnRef idx="0"/>
                          <a:fillRef idx="0"/>
                          <a:effectRef idx="0"/>
                          <a:fontRef idx="minor"/>
                        </wps:style>
                        <wps:bodyPr/>
                      </wps:wsp>
                      <wps:wsp>
                        <wps:cNvPr id="3" name=""/>
                        <wps:cNvSpPr/>
                        <wps:spPr>
                          <a:xfrm>
                            <a:off x="617760" y="0"/>
                            <a:ext cx="597600" cy="185940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35.1pt;margin-top:324pt;width:146.4pt;height:146.4pt" coordorigin="702,6480" coordsize="2928,2928">
                <v:oval id="shape_0" fillcolor="#e5e5e5" stroked="f" o:allowincell="f" style="position:absolute;left:702;top:6480;width:2927;height:2927;mso-wrap-style:none;v-text-anchor:middle;mso-position-horizontal-relative:page;mso-position-vertical-relative:page">
                  <v:fill o:detectmouseclick="t" type="solid" color2="#1a1a1a"/>
                  <v:stroke color="#3465a4" joinstyle="round" endcap="flat"/>
                  <w10:wrap type="none"/>
                </v:oval>
                <v:rect id="shape_0" fillcolor="white" stroked="f" o:allowincell="f" style="position:absolute;left:1675;top:6480;width:940;height:2927;mso-wrap-style:none;v-text-anchor:middle;mso-position-horizontal-relative:page;mso-position-vertical-relative:page">
                  <v:fill o:detectmouseclick="t" type="solid" color2="black"/>
                  <v:stroke color="#3465a4" joinstyle="round" endcap="flat"/>
                  <w10:wrap type="none"/>
                </v:rect>
              </v:group>
            </w:pict>
          </mc:Fallback>
        </mc:AlternateContent>
        <mc:AlternateContent>
          <mc:Choice Requires="wps">
            <w:drawing>
              <wp:anchor behindDoc="1" distT="0" distB="0" distL="114935" distR="114935" simplePos="0" locked="0" layoutInCell="0" allowOverlap="1" relativeHeight="3">
                <wp:simplePos x="0" y="0"/>
                <wp:positionH relativeFrom="page">
                  <wp:posOffset>1695450</wp:posOffset>
                </wp:positionH>
                <wp:positionV relativeFrom="page">
                  <wp:posOffset>457200</wp:posOffset>
                </wp:positionV>
                <wp:extent cx="34925" cy="739140"/>
                <wp:effectExtent l="2540" t="1905" r="1270" b="1905"/>
                <wp:wrapNone/>
                <wp:docPr id="4" name=""/>
                <a:graphic xmlns:a="http://schemas.openxmlformats.org/drawingml/2006/main">
                  <a:graphicData uri="http://schemas.microsoft.com/office/word/2010/wordprocessingShape">
                    <wps:wsp>
                      <wps:cNvSpPr/>
                      <wps:spPr>
                        <a:xfrm>
                          <a:off x="0" y="0"/>
                          <a:ext cx="34920" cy="739080"/>
                        </a:xfrm>
                        <a:prstGeom prst="rect">
                          <a:avLst/>
                        </a:prstGeom>
                        <a:solidFill>
                          <a:srgbClr val="e5e5e5"/>
                        </a:solidFill>
                        <a:ln w="3240">
                          <a:solidFill>
                            <a:srgbClr val="ffffff"/>
                          </a:solidFill>
                          <a:miter/>
                        </a:ln>
                      </wps:spPr>
                      <wps:style>
                        <a:lnRef idx="0"/>
                        <a:fillRef idx="0"/>
                        <a:effectRef idx="0"/>
                        <a:fontRef idx="minor"/>
                      </wps:style>
                      <wps:bodyPr/>
                    </wps:wsp>
                  </a:graphicData>
                </a:graphic>
              </wp:anchor>
            </w:drawing>
          </mc:Choice>
          <mc:Fallback>
            <w:pict>
              <v:rect id="shape_0" fillcolor="#e5e5e5" stroked="t" o:allowincell="f" style="position:absolute;margin-left:133.5pt;margin-top:36pt;width:2.7pt;height:58.15pt;mso-wrap-style:none;v-text-anchor:middle;mso-position-horizontal-relative:page;mso-position-vertical-relative:page">
                <v:fill o:detectmouseclick="t" type="solid" color2="#1a1a1a"/>
                <v:stroke color="white" weight="3240" joinstyle="miter" endcap="flat"/>
                <w10:wrap type="none"/>
              </v:rect>
            </w:pict>
          </mc:Fallback>
        </mc:AlternateContent>
        <mc:AlternateContent>
          <mc:Choice Requires="wps">
            <w:drawing>
              <wp:anchor behindDoc="1" distT="0" distB="0" distL="114935" distR="114935" simplePos="0" locked="0" layoutInCell="0" allowOverlap="1" relativeHeight="4">
                <wp:simplePos x="0" y="0"/>
                <wp:positionH relativeFrom="page">
                  <wp:posOffset>5600700</wp:posOffset>
                </wp:positionH>
                <wp:positionV relativeFrom="page">
                  <wp:posOffset>1463040</wp:posOffset>
                </wp:positionV>
                <wp:extent cx="1676400" cy="34925"/>
                <wp:effectExtent l="1905" t="2540" r="1905" b="1270"/>
                <wp:wrapNone/>
                <wp:docPr id="5" name=""/>
                <a:graphic xmlns:a="http://schemas.openxmlformats.org/drawingml/2006/main">
                  <a:graphicData uri="http://schemas.microsoft.com/office/word/2010/wordprocessingShape">
                    <wps:wsp>
                      <wps:cNvSpPr/>
                      <wps:spPr>
                        <a:xfrm>
                          <a:off x="0" y="0"/>
                          <a:ext cx="1676520" cy="34920"/>
                        </a:xfrm>
                        <a:prstGeom prst="rect">
                          <a:avLst/>
                        </a:prstGeom>
                        <a:solidFill>
                          <a:srgbClr val="e5e5e5"/>
                        </a:solidFill>
                        <a:ln w="3240">
                          <a:solidFill>
                            <a:srgbClr val="ffffff"/>
                          </a:solidFill>
                          <a:miter/>
                        </a:ln>
                      </wps:spPr>
                      <wps:style>
                        <a:lnRef idx="0"/>
                        <a:fillRef idx="0"/>
                        <a:effectRef idx="0"/>
                        <a:fontRef idx="minor"/>
                      </wps:style>
                      <wps:bodyPr/>
                    </wps:wsp>
                  </a:graphicData>
                </a:graphic>
              </wp:anchor>
            </w:drawing>
          </mc:Choice>
          <mc:Fallback>
            <w:pict>
              <v:rect id="shape_0" fillcolor="#e5e5e5" stroked="t" o:allowincell="f" style="position:absolute;margin-left:441pt;margin-top:115.2pt;width:131.95pt;height:2.7pt;mso-wrap-style:none;v-text-anchor:middle;mso-position-horizontal-relative:page;mso-position-vertical-relative:page">
                <v:fill o:detectmouseclick="t" type="solid" color2="#1a1a1a"/>
                <v:stroke color="white" weight="3240" joinstyle="miter" endcap="flat"/>
                <w10:wrap type="none"/>
              </v:rect>
            </w:pict>
          </mc:Fallback>
        </mc:AlternateContent>
      </w:r>
      <w:bookmarkStart w:id="0" w:name="xgraphic"/>
      <w:bookmarkStart w:id="1" w:name="xgraphic"/>
      <w:bookmarkEnd w:id="1"/>
    </w:p>
    <w:p>
      <w:pPr>
        <w:pStyle w:val="DocumentLabel"/>
        <w:rPr>
          <w:rFonts w:ascii="Comic Sans MS" w:hAnsi="Comic Sans MS" w:cs="Comic Sans MS"/>
        </w:rPr>
      </w:pPr>
      <w:bookmarkStart w:id="2" w:name="Title"/>
      <w:bookmarkEnd w:id="2"/>
      <w:r>
        <w:rPr>
          <w:rFonts w:cs="Comic Sans MS" w:ascii="Comic Sans MS" w:hAnsi="Comic Sans MS"/>
        </w:rPr>
        <w:t>Outline Terms</w:t>
      </w:r>
    </w:p>
    <w:p>
      <w:pPr>
        <w:pStyle w:val="MessageHeaderFirst"/>
        <w:rPr/>
      </w:pPr>
      <w:bookmarkStart w:id="3" w:name="Title"/>
      <w:bookmarkEnd w:id="3"/>
      <w:r>
        <w:rPr>
          <w:rStyle w:val="MessageHeaderLabel"/>
          <w:rFonts w:cs="Comic Sans MS" w:ascii="Comic Sans MS" w:hAnsi="Comic Sans MS"/>
        </w:rPr>
        <w:t>Date:</w:t>
        <w:tab/>
      </w:r>
      <w:r>
        <w:rPr>
          <w:rFonts w:cs="Comic Sans MS" w:ascii="Comic Sans MS" w:hAnsi="Comic Sans MS"/>
        </w:rPr>
        <w:t>5/12/00</w:t>
      </w:r>
    </w:p>
    <w:p>
      <w:pPr>
        <w:pStyle w:val="MessageHeader"/>
        <w:rPr/>
      </w:pPr>
      <w:r>
        <w:rPr>
          <w:rStyle w:val="MessageHeaderLabel"/>
          <w:rFonts w:cs="Comic Sans MS" w:ascii="Comic Sans MS" w:hAnsi="Comic Sans MS"/>
        </w:rPr>
        <w:t>To:</w:t>
        <w:tab/>
      </w:r>
      <w:r>
        <w:rPr>
          <w:rFonts w:cs="Comic Sans MS" w:ascii="Comic Sans MS" w:hAnsi="Comic Sans MS"/>
        </w:rPr>
        <w:t>Travis McCulloch, Mark Taylor</w:t>
      </w:r>
    </w:p>
    <w:p>
      <w:pPr>
        <w:pStyle w:val="MessageHeader"/>
        <w:rPr/>
      </w:pPr>
      <w:r>
        <w:rPr>
          <w:rStyle w:val="MessageHeaderLabel"/>
          <w:rFonts w:cs="Comic Sans MS" w:ascii="Comic Sans MS" w:hAnsi="Comic Sans MS"/>
        </w:rPr>
        <w:t>Cc:</w:t>
        <w:tab/>
      </w:r>
      <w:r>
        <w:rPr>
          <w:rFonts w:cs="Comic Sans MS" w:ascii="Comic Sans MS" w:hAnsi="Comic Sans MS"/>
        </w:rPr>
        <w:t>Andy Zipper, Dave Samuels</w:t>
      </w:r>
    </w:p>
    <w:p>
      <w:pPr>
        <w:pStyle w:val="MessageHeader"/>
        <w:rPr/>
      </w:pPr>
      <w:r>
        <w:rPr>
          <w:rStyle w:val="MessageHeaderLabel"/>
          <w:rFonts w:cs="Comic Sans MS" w:ascii="Comic Sans MS" w:hAnsi="Comic Sans MS"/>
        </w:rPr>
        <w:t>From:</w:t>
        <w:tab/>
      </w:r>
      <w:r>
        <w:rPr>
          <w:rFonts w:cs="Comic Sans MS" w:ascii="Comic Sans MS" w:hAnsi="Comic Sans MS"/>
        </w:rPr>
        <w:t>Louise Kitchen</w:t>
      </w:r>
    </w:p>
    <w:p>
      <w:pPr>
        <w:pStyle w:val="MessageHeader"/>
        <w:rPr/>
      </w:pPr>
      <w:r>
        <w:rPr>
          <w:rStyle w:val="MessageHeaderLabel"/>
          <w:rFonts w:cs="Comic Sans MS" w:ascii="Comic Sans MS" w:hAnsi="Comic Sans MS"/>
        </w:rPr>
        <w:t>RE:</w:t>
        <w:tab/>
      </w:r>
      <w:r>
        <w:rPr>
          <w:rFonts w:cs="Comic Sans MS" w:ascii="Comic Sans MS" w:hAnsi="Comic Sans MS"/>
        </w:rPr>
        <w:t>Houstonstreet</w:t>
      </w:r>
    </w:p>
    <w:p>
      <w:pPr>
        <w:pStyle w:val="MessageHeaderLast"/>
        <w:rPr>
          <w:rFonts w:ascii="Comic Sans MS" w:hAnsi="Comic Sans MS" w:cs="Comic Sans MS"/>
        </w:rPr>
      </w:pPr>
      <w:r>
        <w:rPr>
          <w:rStyle w:val="MessageHeaderLabel"/>
          <w:rFonts w:cs="Comic Sans MS" w:ascii="Comic Sans MS" w:hAnsi="Comic Sans MS"/>
        </w:rPr>
        <w:t>Priority:</w:t>
        <w:tab/>
      </w:r>
      <w:r>
        <w:rPr>
          <w:rStyle w:val="MessageHeaderLabel"/>
          <w:rFonts w:cs="Comic Sans MS" w:ascii="Comic Sans MS" w:hAnsi="Comic Sans MS"/>
          <w:b w:val="false"/>
          <w:sz w:val="20"/>
        </w:rPr>
        <w:t>Urgent</w:t>
      </w:r>
    </w:p>
    <w:p>
      <w:pPr>
        <w:pStyle w:val="BodyText"/>
        <w:rPr>
          <w:rFonts w:ascii="Comic Sans MS" w:hAnsi="Comic Sans MS" w:cs="Comic Sans MS"/>
        </w:rPr>
      </w:pPr>
      <w:r>
        <w:rPr>
          <w:rFonts w:cs="Comic Sans MS" w:ascii="Comic Sans MS" w:hAnsi="Comic Sans MS"/>
        </w:rPr>
        <w:t>Hello,</w:t>
      </w:r>
    </w:p>
    <w:p>
      <w:pPr>
        <w:pStyle w:val="BodyText"/>
        <w:rPr>
          <w:rFonts w:ascii="Comic Sans MS" w:hAnsi="Comic Sans MS" w:cs="Comic Sans MS"/>
        </w:rPr>
      </w:pPr>
      <w:r>
        <w:rPr>
          <w:rFonts w:cs="Comic Sans MS" w:ascii="Comic Sans MS" w:hAnsi="Comic Sans MS"/>
        </w:rPr>
        <w:t>These are I think the outline terms and requirements:</w:t>
      </w:r>
    </w:p>
    <w:p>
      <w:pPr>
        <w:pStyle w:val="BodyText"/>
        <w:rPr>
          <w:rFonts w:ascii="Comic Sans MS" w:hAnsi="Comic Sans MS" w:cs="Comic Sans MS"/>
        </w:rPr>
      </w:pPr>
      <w:r>
        <w:rPr>
          <w:rFonts w:cs="Comic Sans MS" w:ascii="Comic Sans MS" w:hAnsi="Comic Sans MS"/>
        </w:rPr>
        <w:t>Document Required:  Full Contract (not an LOU)</w:t>
      </w:r>
    </w:p>
    <w:p>
      <w:pPr>
        <w:pStyle w:val="BodyText"/>
        <w:rPr/>
      </w:pPr>
      <w:r>
        <w:rPr>
          <w:rFonts w:cs="Comic Sans MS" w:ascii="Comic Sans MS" w:hAnsi="Comic Sans MS"/>
          <w:b/>
        </w:rPr>
        <w:t>1.</w:t>
        <w:tab/>
        <w:t>Parties:</w:t>
      </w:r>
      <w:r>
        <w:rPr>
          <w:rFonts w:cs="Comic Sans MS" w:ascii="Comic Sans MS" w:hAnsi="Comic Sans MS"/>
        </w:rPr>
        <w:t xml:space="preserve"> Enron Net Works and HoustonStreet Exchange Inc</w:t>
      </w:r>
    </w:p>
    <w:p>
      <w:pPr>
        <w:pStyle w:val="BodyText"/>
        <w:rPr/>
      </w:pPr>
      <w:r>
        <w:rPr>
          <w:rFonts w:cs="Comic Sans MS" w:ascii="Comic Sans MS" w:hAnsi="Comic Sans MS"/>
          <w:b/>
        </w:rPr>
        <w:t>2.</w:t>
        <w:tab/>
        <w:t>Purpose:</w:t>
      </w:r>
      <w:r>
        <w:rPr>
          <w:rFonts w:cs="Comic Sans MS" w:ascii="Comic Sans MS" w:hAnsi="Comic Sans MS"/>
        </w:rPr>
        <w:t xml:space="preserve">  To set out the acquisition of HoustonStreet Exchange Inc equity in return for Enron posting prices on HoustonStreet’s web site.</w:t>
      </w:r>
    </w:p>
    <w:p>
      <w:pPr>
        <w:pStyle w:val="BodyText"/>
        <w:rPr/>
      </w:pPr>
      <w:r>
        <w:rPr>
          <w:rFonts w:cs="Comic Sans MS" w:ascii="Comic Sans MS" w:hAnsi="Comic Sans MS"/>
          <w:b/>
        </w:rPr>
        <w:t>3.</w:t>
        <w:tab/>
        <w:t>Equity Terms:</w:t>
      </w:r>
      <w:r>
        <w:rPr>
          <w:rFonts w:cs="Comic Sans MS" w:ascii="Comic Sans MS" w:hAnsi="Comic Sans MS"/>
        </w:rPr>
        <w:t xml:space="preserve"> Enron to receive 5% of the equity upon signing of this agreement, equity which will be vested (?) immediately.</w:t>
      </w:r>
    </w:p>
    <w:p>
      <w:pPr>
        <w:pStyle w:val="BodyText"/>
        <w:rPr>
          <w:rFonts w:ascii="Comic Sans MS" w:hAnsi="Comic Sans MS" w:cs="Comic Sans MS"/>
        </w:rPr>
      </w:pPr>
      <w:r>
        <w:rPr>
          <w:rFonts w:cs="Comic Sans MS" w:ascii="Comic Sans MS" w:hAnsi="Comic Sans MS"/>
        </w:rPr>
        <w:t>Subject to Enron entering into transactions of 300,000,000 mmbtus (or mmbtu equivalents in power and natural gas), Enron shall receive and incremental 1% of the equity.  This is subject to a cap of 5%.  This incremental equity will vest immediately.  This option to  increase the equity will terminate 1 year from the initial posting of gas or power prices on HoustonStreet’s website.</w:t>
      </w:r>
    </w:p>
    <w:p>
      <w:pPr>
        <w:pStyle w:val="BodyText"/>
        <w:rPr>
          <w:rFonts w:ascii="Comic Sans MS" w:hAnsi="Comic Sans MS" w:cs="Comic Sans MS"/>
        </w:rPr>
      </w:pPr>
      <w:r>
        <w:rPr>
          <w:rFonts w:cs="Comic Sans MS" w:ascii="Comic Sans MS" w:hAnsi="Comic Sans MS"/>
        </w:rPr>
        <w:t>Enron will receive free of charge 10% of the equity in the (to be formed) European and Japanese subsidiaries subject to Enron posting prices on the web sites of these two businesses.</w:t>
      </w:r>
    </w:p>
    <w:p>
      <w:pPr>
        <w:pStyle w:val="BodyText"/>
        <w:rPr>
          <w:rFonts w:ascii="Comic Sans MS" w:hAnsi="Comic Sans MS" w:cs="Comic Sans MS"/>
        </w:rPr>
      </w:pPr>
      <w:r>
        <w:rPr>
          <w:rFonts w:cs="Comic Sans MS" w:ascii="Comic Sans MS" w:hAnsi="Comic Sans MS"/>
        </w:rPr>
        <w:t>Standard clauses (non-dilution ) to be included.</w:t>
      </w:r>
    </w:p>
    <w:p>
      <w:pPr>
        <w:pStyle w:val="BodyText"/>
        <w:rPr>
          <w:rFonts w:ascii="Comic Sans MS" w:hAnsi="Comic Sans MS" w:cs="Comic Sans MS"/>
        </w:rPr>
      </w:pPr>
      <w:r>
        <w:rPr>
          <w:rFonts w:cs="Comic Sans MS" w:ascii="Comic Sans MS" w:hAnsi="Comic Sans MS"/>
        </w:rPr>
        <w:t>4.</w:t>
        <w:tab/>
        <w:t>Technology Terms:  Any transaction entered into by Enron cannot be completed until HoustonStreet validates that the price and volume are still available on Enron’s interface with HoustonStreet.  In practice, Enron will provide HS with a price feed, allowing for Enron’s prices to be updated continuously on HS.  However, HS must validate each transaction and enter into the transaction with Enron prior to completing the transaction on its website.</w:t>
      </w:r>
    </w:p>
    <w:p>
      <w:pPr>
        <w:pStyle w:val="BodyText"/>
        <w:rPr>
          <w:rFonts w:ascii="Comic Sans MS" w:hAnsi="Comic Sans MS" w:cs="Comic Sans MS"/>
        </w:rPr>
      </w:pPr>
      <w: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5.2pt;margin-top:20.6pt;width:359.25pt;height:269.25pt;mso-wrap-distance-left:9.05pt;mso-wrap-distance-right:9.05pt;mso-position-horizontal-relative:text;mso-position-vertical-relative:text" filled="f" o:ole="">
            <v:imagedata r:id="rId3" o:title=""/>
            <w10:wrap type="topAndBottom"/>
          </v:shape>
          <o:OLEObject Type="Embed" ProgID="PowerPoint.Show.12" ShapeID="ole_rId2" DrawAspect="Content" ObjectID="_1891135762" r:id="rId2"/>
        </w:object>
      </w:r>
      <w:r>
        <w:rPr>
          <w:rFonts w:cs="Comic Sans MS" w:ascii="Comic Sans MS" w:hAnsi="Comic Sans MS"/>
        </w:rPr>
        <w:t>Eg If Enron is passive</w:t>
      </w:r>
    </w:p>
    <w:p>
      <w:pPr>
        <w:pStyle w:val="BodyText"/>
        <w:rPr>
          <w:rFonts w:ascii="Comic Sans MS" w:hAnsi="Comic Sans MS" w:cs="Comic Sans MS"/>
        </w:rPr>
      </w:pPr>
      <w: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2.4pt;margin-top:296.65pt;width:359.25pt;height:252pt;mso-wrap-distance-left:9.05pt;mso-wrap-distance-right:9.05pt;mso-position-horizontal-relative:text;mso-position-vertical-relative:text" filled="f" o:ole="">
            <v:imagedata r:id="rId5" o:title=""/>
            <w10:wrap type="topAndBottom"/>
          </v:shape>
          <o:OLEObject Type="Embed" ProgID="PowerPoint.Show.12" ShapeID="ole_rId4" DrawAspect="Content" ObjectID="_803346062" r:id="rId4"/>
        </w:object>
      </w:r>
      <w:r>
        <w:rPr>
          <w:rFonts w:cs="Comic Sans MS" w:ascii="Comic Sans MS" w:hAnsi="Comic Sans MS"/>
        </w:rPr>
        <w:t>And if Enron is the aggressor (it’s the same)</w:t>
      </w:r>
    </w:p>
    <w:p>
      <w:pPr>
        <w:pStyle w:val="BodyText"/>
        <w:rPr>
          <w:rFonts w:ascii="Comic Sans MS" w:hAnsi="Comic Sans MS" w:cs="Comic Sans MS"/>
        </w:rPr>
      </w:pPr>
      <w:r>
        <w:rPr>
          <w:rFonts w:cs="Comic Sans MS" w:ascii="Comic Sans MS" w:hAnsi="Comic Sans MS"/>
        </w:rPr>
        <w:t>There are requirements for both parties to provide interfaces (copy the concept from TrueQuote.</w:t>
      </w:r>
    </w:p>
    <w:p>
      <w:pPr>
        <w:pStyle w:val="BodyText"/>
        <w:rPr/>
      </w:pPr>
      <w:r>
        <w:rPr>
          <w:rFonts w:cs="Comic Sans MS" w:ascii="Comic Sans MS" w:hAnsi="Comic Sans MS"/>
          <w:b/>
        </w:rPr>
        <w:t xml:space="preserve">Credit/Counterparty management interface:  </w:t>
      </w:r>
      <w:r>
        <w:rPr>
          <w:rFonts w:cs="Comic Sans MS" w:ascii="Comic Sans MS" w:hAnsi="Comic Sans MS"/>
        </w:rPr>
        <w:t>Enron will in total need several interfaces with HS</w:t>
      </w:r>
    </w:p>
    <w:p>
      <w:pPr>
        <w:pStyle w:val="BodyText"/>
        <w:numPr>
          <w:ilvl w:val="0"/>
          <w:numId w:val="2"/>
        </w:numPr>
        <w:rPr>
          <w:rFonts w:ascii="Comic Sans MS" w:hAnsi="Comic Sans MS" w:cs="Comic Sans MS"/>
        </w:rPr>
      </w:pPr>
      <w:r>
        <w:rPr>
          <w:rFonts w:cs="Comic Sans MS" w:ascii="Comic Sans MS" w:hAnsi="Comic Sans MS"/>
        </w:rPr>
        <w:t>Price feed – specified by Enron and provided by HS</w:t>
      </w:r>
    </w:p>
    <w:p>
      <w:pPr>
        <w:pStyle w:val="BodyText"/>
        <w:numPr>
          <w:ilvl w:val="0"/>
          <w:numId w:val="2"/>
        </w:numPr>
        <w:rPr>
          <w:rFonts w:ascii="Comic Sans MS" w:hAnsi="Comic Sans MS" w:cs="Comic Sans MS"/>
        </w:rPr>
      </w:pPr>
      <w:r>
        <w:rPr>
          <w:rFonts w:cs="Comic Sans MS" w:ascii="Comic Sans MS" w:hAnsi="Comic Sans MS"/>
        </w:rPr>
        <w:t>Transaction Interface – provided by Enron</w:t>
      </w:r>
    </w:p>
    <w:p>
      <w:pPr>
        <w:pStyle w:val="BodyText"/>
        <w:numPr>
          <w:ilvl w:val="0"/>
          <w:numId w:val="2"/>
        </w:numPr>
        <w:rPr>
          <w:rFonts w:ascii="Comic Sans MS" w:hAnsi="Comic Sans MS" w:cs="Comic Sans MS"/>
          <w:b/>
        </w:rPr>
      </w:pPr>
      <w:r>
        <w:rPr>
          <w:rFonts w:cs="Comic Sans MS" w:ascii="Comic Sans MS" w:hAnsi="Comic Sans MS"/>
        </w:rPr>
        <w:t>Credit/Counterparty management interface to ensure Enron can update who it will trade with on a permanent ongoing basis in an automated fashion.</w:t>
      </w:r>
    </w:p>
    <w:p>
      <w:pPr>
        <w:pStyle w:val="BodyText"/>
        <w:rPr/>
      </w:pPr>
      <w:r>
        <w:rPr>
          <w:rFonts w:cs="Comic Sans MS" w:ascii="Comic Sans MS" w:hAnsi="Comic Sans MS"/>
          <w:b/>
        </w:rPr>
        <w:t xml:space="preserve">Contract Wording:  </w:t>
      </w:r>
      <w:r>
        <w:rPr>
          <w:rFonts w:cs="Comic Sans MS" w:ascii="Comic Sans MS" w:hAnsi="Comic Sans MS"/>
        </w:rPr>
        <w:t>Enron to provide wording for a text box to be inserted into the management screen which allows for counterparties to accept to transact with Enron on  HS subject to contracts entered into on EOL.</w:t>
      </w:r>
    </w:p>
    <w:p>
      <w:pPr>
        <w:pStyle w:val="BodyText"/>
        <w:ind w:start="720" w:end="-360"/>
        <w:rPr>
          <w:rFonts w:ascii="Comic Sans MS" w:hAnsi="Comic Sans MS" w:cs="Comic Sans MS"/>
        </w:rPr>
      </w:pPr>
      <w:r>
        <w:rPr>
          <w:rFonts w:cs="Comic Sans MS" w:ascii="Comic Sans MS" w:hAnsi="Comic Sans MS"/>
        </w:rPr>
        <w:t>HS must provide within the interface a mechanism from Enron to receive current prices from HS, in order to establish the controls within its own system.</w:t>
      </w:r>
    </w:p>
    <w:p>
      <w:pPr>
        <w:pStyle w:val="BodyText"/>
        <w:ind w:start="720" w:end="-360"/>
        <w:rPr/>
      </w:pPr>
      <w:r>
        <w:rPr>
          <w:rFonts w:cs="Comic Sans MS" w:ascii="Comic Sans MS" w:hAnsi="Comic Sans MS"/>
          <w:b/>
        </w:rPr>
        <w:t>5. Brokerage Fees –</w:t>
      </w:r>
      <w:r>
        <w:rPr>
          <w:rFonts w:cs="Comic Sans MS" w:ascii="Comic Sans MS" w:hAnsi="Comic Sans MS"/>
        </w:rPr>
        <w:t xml:space="preserve"> Enron will not be subject to an brokerage fees unless the Enron trader transacts on HS in a non-automated fashion, ie he/she enters the screen via the front of the HS application with a viable password etc </w:t>
      </w:r>
    </w:p>
    <w:p>
      <w:pPr>
        <w:pStyle w:val="BodyText"/>
        <w:ind w:start="720" w:end="-360"/>
        <w:rPr>
          <w:rFonts w:ascii="Comic Sans MS" w:hAnsi="Comic Sans MS" w:cs="Comic Sans MS"/>
        </w:rPr>
      </w:pPr>
      <w:r>
        <w:rPr>
          <w:rFonts w:cs="Comic Sans MS" w:ascii="Comic Sans MS" w:hAnsi="Comic Sans MS"/>
        </w:rPr>
        <w:t>6. Board Seat</w:t>
      </w:r>
    </w:p>
    <w:p>
      <w:pPr>
        <w:pStyle w:val="BodyText"/>
        <w:ind w:start="720" w:end="-360"/>
        <w:rPr>
          <w:rFonts w:ascii="Comic Sans MS" w:hAnsi="Comic Sans MS" w:cs="Comic Sans MS"/>
        </w:rPr>
      </w:pPr>
      <w:r>
        <w:rPr>
          <w:rFonts w:cs="Comic Sans MS" w:ascii="Comic Sans MS" w:hAnsi="Comic Sans MS"/>
        </w:rPr>
        <w:t>7 Connectivity – HS to pay and provide connectivity directly to Enron.  Enron to provide reasonable access to ensure such is enabled.</w:t>
      </w:r>
    </w:p>
    <w:p>
      <w:pPr>
        <w:pStyle w:val="BodyText"/>
        <w:ind w:start="720" w:end="-360"/>
        <w:rPr>
          <w:rFonts w:ascii="Comic Sans MS" w:hAnsi="Comic Sans MS" w:cs="Comic Sans MS"/>
        </w:rPr>
      </w:pPr>
      <w:r>
        <w:rPr>
          <w:rFonts w:cs="Comic Sans MS" w:ascii="Comic Sans MS" w:hAnsi="Comic Sans MS"/>
        </w:rPr>
        <w:t>8. Non – exclusive but obviously upside in equity participation if we are exclusive after one year.</w:t>
      </w:r>
    </w:p>
    <w:p>
      <w:pPr>
        <w:pStyle w:val="BodyText"/>
        <w:rPr>
          <w:rFonts w:ascii="Comic Sans MS" w:hAnsi="Comic Sans MS" w:cs="Comic Sans MS"/>
        </w:rPr>
      </w:pPr>
      <w:r>
        <w:rPr>
          <w:rFonts w:cs="Comic Sans MS" w:ascii="Comic Sans MS" w:hAnsi="Comic Sans MS"/>
        </w:rPr>
      </w:r>
    </w:p>
    <w:p>
      <w:pPr>
        <w:pStyle w:val="BodyText"/>
        <w:rPr>
          <w:rFonts w:ascii="Comic Sans MS" w:hAnsi="Comic Sans MS" w:cs="Comic Sans MS"/>
        </w:rPr>
      </w:pPr>
      <w:r>
        <w:rPr>
          <w:rFonts w:cs="Comic Sans MS" w:ascii="Comic Sans MS" w:hAnsi="Comic Sans MS"/>
        </w:rPr>
      </w:r>
    </w:p>
    <w:p>
      <w:pPr>
        <w:pStyle w:val="BodyText"/>
        <w:rPr>
          <w:rFonts w:ascii="Comic Sans MS" w:hAnsi="Comic Sans MS" w:cs="Comic Sans MS"/>
        </w:rPr>
      </w:pPr>
      <w:r>
        <w:rPr>
          <w:rFonts w:cs="Comic Sans MS" w:ascii="Comic Sans MS" w:hAnsi="Comic Sans MS"/>
        </w:rPr>
      </w:r>
    </w:p>
    <w:p>
      <w:pPr>
        <w:pStyle w:val="BodyText"/>
        <w:rPr>
          <w:rFonts w:ascii="Comic Sans MS" w:hAnsi="Comic Sans MS" w:cs="Comic Sans MS"/>
        </w:rPr>
      </w:pPr>
      <w:r>
        <w:rPr>
          <w:rFonts w:cs="Comic Sans MS" w:ascii="Comic Sans MS" w:hAnsi="Comic Sans MS"/>
        </w:rPr>
      </w:r>
    </w:p>
    <w:p>
      <w:pPr>
        <w:pStyle w:val="BodyText"/>
        <w:rPr>
          <w:rFonts w:ascii="Comic Sans MS" w:hAnsi="Comic Sans MS" w:cs="Comic Sans MS"/>
        </w:rPr>
      </w:pPr>
      <w:r>
        <w:rPr>
          <w:rFonts w:cs="Comic Sans MS" w:ascii="Comic Sans MS" w:hAnsi="Comic Sans MS"/>
        </w:rPr>
      </w:r>
    </w:p>
    <w:p>
      <w:pPr>
        <w:pStyle w:val="BodyText"/>
        <w:rPr>
          <w:rFonts w:ascii="Comic Sans MS" w:hAnsi="Comic Sans MS" w:cs="Comic Sans MS"/>
        </w:rPr>
      </w:pPr>
      <w:r>
        <w:rPr>
          <w:rFonts w:cs="Comic Sans MS" w:ascii="Comic Sans MS" w:hAnsi="Comic Sans MS"/>
        </w:rPr>
      </w:r>
    </w:p>
    <w:p>
      <w:pPr>
        <w:pStyle w:val="BodyText"/>
        <w:ind w:start="0" w:end="-360"/>
        <w:rPr>
          <w:rFonts w:ascii="Comic Sans MS" w:hAnsi="Comic Sans MS" w:cs="Comic Sans MS"/>
        </w:rPr>
      </w:pPr>
      <w:r>
        <w:rPr>
          <w:rFonts w:cs="Comic Sans MS" w:ascii="Comic Sans MS" w:hAnsi="Comic Sans MS"/>
        </w:rPr>
      </w:r>
    </w:p>
    <w:p>
      <w:pPr>
        <w:pStyle w:val="BodyText"/>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p>
      <w:pPr>
        <w:pStyle w:val="MessageHeader"/>
        <w:rPr>
          <w:rFonts w:ascii="Comic Sans MS" w:hAnsi="Comic Sans MS" w:cs="Comic Sans MS"/>
        </w:rPr>
      </w:pPr>
      <w:r>
        <w:rPr>
          <w:rFonts w:cs="Comic Sans MS" w:ascii="Comic Sans MS" w:hAnsi="Comic Sans MS"/>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 w:name="Comic Sans MS">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5/12/00</w:t>
      <w:tab/>
      <w:t>Confidential</w:t>
      <w:tab/>
    </w:r>
    <w:r>
      <w:rPr/>
      <w:fldChar w:fldCharType="begin"/>
    </w:r>
    <w:r>
      <w:rPr/>
      <w:instrText xml:space="preserve"> PAGE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5/12/00</w:t>
      <w:tab/>
      <w:t>Confidential</w:t>
      <w:tab/>
    </w:r>
    <w:r>
      <w:rPr/>
      <w:fldChar w:fldCharType="begin"/>
    </w:r>
    <w:r>
      <w:rPr/>
      <w:instrText xml:space="preserve"> PAGE </w:instrText>
    </w:r>
    <w:r>
      <w:rPr/>
      <w:fldChar w:fldCharType="separate"/>
    </w:r>
    <w:r>
      <w:rPr/>
      <w:t>1</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Outline Terms: Houstonstreet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200"/>
        </w:tabs>
        <w:ind w:start="1200" w:hanging="360"/>
      </w:pPr>
      <w:r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hyphenationZone w:val="0"/>
  <w:compat>
    <w:doNotExpandShiftReturn/>
    <w:compatSetting w:name="compatibilityMode" w:uri="http://schemas.microsoft.com/office/word" w:val="11"/>
  </w:compat>
  <w:docVars>
    <w:docVar w:name="iMemoStyle" w:val="1"/>
    <w:docVar w:name="Memo Post Wizard Balloon"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package" Target="embeddings/oleObject2.pptx"/><Relationship Id="rId5" Type="http://schemas.openxmlformats.org/officeDocument/2006/relationships/image" Target="media/image2.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 Wizard</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2000-05-12T22:52:00Z</dcterms:created>
  <dc:creator>Microsoft Corporation</dc:creator>
  <dc:description/>
  <dc:language>en-CA</dc:language>
  <cp:lastModifiedBy>lkitchen</cp:lastModifiedBy>
  <dcterms:modified xsi:type="dcterms:W3CDTF">2000-05-12T23:57:00Z</dcterms:modified>
  <cp:revision>1</cp:revision>
  <dc:subject>Houstonstreet</dc:subject>
  <dc:title>outline terms</dc:title>
</cp:coreProperties>
</file>