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ENERGY PROMOTION IN HOUSTON, T.X.</w:t>
      </w:r>
      <w:r>
        <w:rPr>
          <w:sz w:val="24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hanging="1701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by:</w:t>
        <w:tab/>
        <w:t xml:space="preserve">Michael Sturm </w:t>
      </w:r>
    </w:p>
    <w:p>
      <w:pPr>
        <w:pStyle w:val="Normal"/>
        <w:ind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Wirtschaftsfoerderung Frankfurt - Frankfurt Economic Development GmbH</w:t>
      </w:r>
    </w:p>
    <w:p>
      <w:pPr>
        <w:pStyle w:val="Normal"/>
        <w:ind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Tel: +49 69 212-38764 Fax: +49 69 212-36230 E-Mail: </w:t>
      </w:r>
    </w:p>
    <w:p>
      <w:pPr>
        <w:pStyle w:val="Normal"/>
        <w:ind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st@frankfurt-business.de</w:t>
      </w:r>
    </w:p>
    <w:p>
      <w:pPr>
        <w:pStyle w:val="Normal"/>
        <w:ind w:start="1701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9212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630"/>
        <w:gridCol w:w="7582"/>
      </w:tblGrid>
      <w:tr>
        <w:trPr/>
        <w:tc>
          <w:tcPr>
            <w:tcW w:w="1630" w:type="dxa"/>
            <w:tcBorders/>
            <w:shd w:fill="BFBFBF" w:val="clear"/>
          </w:tcPr>
          <w:p>
            <w:pPr>
              <w:pStyle w:val="Heading1"/>
              <w:ind w:hanging="0" w:start="0"/>
              <w:rPr/>
            </w:pPr>
            <w:r>
              <w:rPr/>
              <w:t>Project</w:t>
            </w:r>
          </w:p>
        </w:tc>
        <w:tc>
          <w:tcPr>
            <w:tcW w:w="7582" w:type="dxa"/>
            <w:tcBorders/>
          </w:tcPr>
          <w:p>
            <w:pPr>
              <w:pStyle w:val="Textkrper3"/>
              <w:rPr>
                <w:sz w:val="22"/>
              </w:rPr>
            </w:pPr>
            <w:r>
              <w:rPr>
                <w:sz w:val="22"/>
              </w:rPr>
              <w:t>Promotion for Mid-European Power Exchange/ City of Frankfurt</w:t>
            </w:r>
          </w:p>
        </w:tc>
      </w:tr>
      <w:tr>
        <w:trPr/>
        <w:tc>
          <w:tcPr>
            <w:tcW w:w="16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7582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630" w:type="dxa"/>
            <w:tcBorders/>
            <w:shd w:fill="BFBFBF" w:val="clear"/>
          </w:tcPr>
          <w:p>
            <w:pPr>
              <w:pStyle w:val="Heading2"/>
              <w:ind w:hanging="0" w:start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Title</w:t>
            </w:r>
          </w:p>
        </w:tc>
        <w:tc>
          <w:tcPr>
            <w:tcW w:w="7582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„</w:t>
            </w:r>
            <w:r>
              <w:rPr>
                <w:rFonts w:cs="Arial" w:ascii="Arial" w:hAnsi="Arial"/>
                <w:b/>
                <w:sz w:val="22"/>
              </w:rPr>
              <w:t>Frankfurt – Helps Power Your Business“</w:t>
            </w:r>
          </w:p>
        </w:tc>
      </w:tr>
      <w:tr>
        <w:trPr/>
        <w:tc>
          <w:tcPr>
            <w:tcW w:w="16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7582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630" w:type="dxa"/>
            <w:tcBorders/>
            <w:shd w:fill="BFBFBF" w:val="clear"/>
          </w:tcPr>
          <w:p>
            <w:pPr>
              <w:pStyle w:val="Heading1"/>
              <w:ind w:hanging="0" w:start="0"/>
              <w:rPr/>
            </w:pPr>
            <w:r>
              <w:rPr/>
              <w:t>Timing</w:t>
            </w:r>
          </w:p>
        </w:tc>
        <w:tc>
          <w:tcPr>
            <w:tcW w:w="7582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November 30/Dezember 1, 1999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Earliest Arrival of Delegation on Nov 30., 5:34 p.m.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(CO 1975 New York/Houston IAH)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Latest Departure Date: Dec., 1, 6:44p.m.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(CO 1804 Houston/IAH-Boston/M.A.)</w:t>
            </w:r>
          </w:p>
        </w:tc>
      </w:tr>
      <w:tr>
        <w:trPr/>
        <w:tc>
          <w:tcPr>
            <w:tcW w:w="1630" w:type="dxa"/>
            <w:tcBorders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7582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630" w:type="dxa"/>
            <w:tcBorders/>
            <w:shd w:fill="BFBFBF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Background</w:t>
            </w:r>
          </w:p>
        </w:tc>
        <w:tc>
          <w:tcPr>
            <w:tcW w:w="7582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Promotion For The Liberalized German/European Energy Market ; German Energy Exchange GEX; </w:t>
            </w:r>
          </w:p>
        </w:tc>
      </w:tr>
      <w:tr>
        <w:trPr/>
        <w:tc>
          <w:tcPr>
            <w:tcW w:w="1630" w:type="dxa"/>
            <w:tcBorders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sz w:val="22"/>
                <w:shd w:fill="BFBFBF" w:val="clear"/>
              </w:rPr>
            </w:pPr>
            <w:r>
              <w:rPr>
                <w:rFonts w:cs="Arial"/>
                <w:sz w:val="22"/>
                <w:shd w:fill="BFBFBF" w:val="clear"/>
              </w:rPr>
            </w:r>
          </w:p>
        </w:tc>
        <w:tc>
          <w:tcPr>
            <w:tcW w:w="7582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hd w:fill="BFBFBF" w:val="clear"/>
                <w:lang w:val="en-GB"/>
              </w:rPr>
            </w:pPr>
            <w:r>
              <w:rPr>
                <w:rFonts w:cs="Arial" w:ascii="Arial" w:hAnsi="Arial"/>
                <w:sz w:val="22"/>
                <w:shd w:fill="BFBFBF" w:val="clear"/>
                <w:lang w:val="en-GB"/>
              </w:rPr>
            </w:r>
          </w:p>
        </w:tc>
      </w:tr>
      <w:tr>
        <w:trPr/>
        <w:tc>
          <w:tcPr>
            <w:tcW w:w="1630" w:type="dxa"/>
            <w:tcBorders/>
            <w:shd w:fill="BFBFBF" w:val="clear"/>
          </w:tcPr>
          <w:p>
            <w:pPr>
              <w:pStyle w:val="Heading1"/>
              <w:ind w:hanging="0" w:start="0"/>
              <w:rPr>
                <w:shd w:fill="BFBFBF" w:val="clear"/>
              </w:rPr>
            </w:pPr>
            <w:r>
              <w:rPr>
                <w:shd w:fill="BFBFBF" w:val="clear"/>
              </w:rPr>
              <w:t>Main Target Group</w:t>
            </w:r>
          </w:p>
          <w:p>
            <w:pPr>
              <w:pStyle w:val="Normal"/>
              <w:rPr>
                <w:rFonts w:ascii="Arial" w:hAnsi="Arial" w:cs="Arial"/>
                <w:shd w:fill="BFBFBF" w:val="clear"/>
              </w:rPr>
            </w:pPr>
            <w:r>
              <w:rPr>
                <w:rFonts w:cs="Arial" w:ascii="Arial" w:hAnsi="Arial"/>
                <w:shd w:fill="BFBFBF" w:val="clear"/>
              </w:rPr>
            </w:r>
          </w:p>
        </w:tc>
        <w:tc>
          <w:tcPr>
            <w:tcW w:w="7582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Major U.S. Energy Companies That Are Interested In Getting Into The German Power/Energy Market; Get Them Interested To Be Market-Player; Increase Liquidity</w:t>
            </w:r>
          </w:p>
        </w:tc>
      </w:tr>
      <w:tr>
        <w:trPr/>
        <w:tc>
          <w:tcPr>
            <w:tcW w:w="1630" w:type="dxa"/>
            <w:tcBorders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7582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630" w:type="dxa"/>
            <w:tcBorders/>
            <w:shd w:fill="BFBFBF" w:val="clear"/>
          </w:tcPr>
          <w:p>
            <w:pPr>
              <w:pStyle w:val="Heading1"/>
              <w:ind w:hanging="0" w:start="0"/>
              <w:rPr/>
            </w:pPr>
            <w:r>
              <w:rPr/>
              <w:t>Itinerary</w:t>
            </w:r>
          </w:p>
        </w:tc>
        <w:tc>
          <w:tcPr>
            <w:tcW w:w="7582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cs="Arial" w:ascii="Arial" w:hAnsi="Arial"/>
                <w:sz w:val="22"/>
                <w:u w:val="single"/>
              </w:rPr>
              <w:t>Main Event (Nov, 30):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Dinner-Meeting with High-Ranking Representatives of Major U.S. Energy Companies, by invitation of Kenneth Lay, Chairman and CEO of Enron Corp.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cs="Arial" w:ascii="Arial" w:hAnsi="Arial"/>
                <w:sz w:val="22"/>
                <w:u w:val="single"/>
              </w:rPr>
              <w:t>Side-Program (Dec. 1)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-Houston Television (Breakfast)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-Luncheon with Houston Business Groups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(Companies of the Business Community, especially Hard&amp;Software, Telecoms, Energy, Medicine/Biotech)</w:t>
            </w:r>
          </w:p>
        </w:tc>
      </w:tr>
      <w:tr>
        <w:trPr/>
        <w:tc>
          <w:tcPr>
            <w:tcW w:w="1630" w:type="dxa"/>
            <w:tcBorders/>
            <w:shd w:fill="BFBFBF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7582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-Interview with Houston Chronicle</w:t>
            </w:r>
          </w:p>
        </w:tc>
      </w:tr>
      <w:tr>
        <w:trPr/>
        <w:tc>
          <w:tcPr>
            <w:tcW w:w="1630" w:type="dxa"/>
            <w:tcBorders/>
            <w:shd w:fill="BFBFBF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7582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630" w:type="dxa"/>
            <w:tcBorders/>
            <w:shd w:fill="BFBFBF" w:val="clear"/>
          </w:tcPr>
          <w:p>
            <w:pPr>
              <w:pStyle w:val="Heading1"/>
              <w:ind w:hanging="0" w:start="0"/>
              <w:rPr/>
            </w:pPr>
            <w:r>
              <w:rPr/>
              <w:t>Participants</w:t>
            </w:r>
          </w:p>
        </w:tc>
        <w:tc>
          <w:tcPr>
            <w:tcW w:w="7582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Mayor Petra Roth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630" w:type="dxa"/>
            <w:tcBorders/>
            <w:shd w:fill="BFBFBF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7582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ind w:hanging="1701" w:start="1701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hanging="1701" w:start="1701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Frankfurt, 29.07.1999</w:t>
      </w:r>
    </w:p>
    <w:p>
      <w:pPr>
        <w:pStyle w:val="Normal"/>
        <w:ind w:hanging="1701" w:start="1701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hanging="1701" w:start="1701" w:end="0"/>
        <w:jc w:val="both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  <w:t>Preparation Team:</w:t>
      </w:r>
    </w:p>
    <w:p>
      <w:pPr>
        <w:pStyle w:val="Normal"/>
        <w:ind w:hanging="1701" w:start="1701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John P. Thompson, Managing Director, Enron Energie GmbH, Frankfurt</w:t>
      </w:r>
    </w:p>
    <w:p>
      <w:pPr>
        <w:pStyle w:val="Normal"/>
        <w:ind w:hanging="1701" w:start="1701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Thomas Geisel, Manager, Enron Energie GmbH, Frankfurt</w:t>
      </w:r>
    </w:p>
    <w:p>
      <w:pPr>
        <w:pStyle w:val="Normal"/>
        <w:ind w:hanging="1701" w:start="1701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Mark Schroeder, Regulatory Affairs, Enron Europe Ltd., London</w:t>
      </w:r>
    </w:p>
    <w:p>
      <w:pPr>
        <w:pStyle w:val="Normal"/>
        <w:ind w:hanging="1701" w:start="1701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Dr. Hartmut Schwesinger, CEO &amp; Michael Sturm, Director North America</w:t>
      </w:r>
    </w:p>
    <w:p>
      <w:pPr>
        <w:pStyle w:val="Normal"/>
        <w:ind w:hanging="1701" w:start="1701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Frankfurt Economic Development GmbH</w:t>
      </w:r>
    </w:p>
    <w:p>
      <w:pPr>
        <w:pStyle w:val="Normal"/>
        <w:ind w:hanging="1701" w:start="1701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hanging="1701" w:start="1701" w:end="0"/>
        <w:jc w:val="both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  <w:t>earlier involved: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E. Joseph Hillings, Vice President and General Manager</w:t>
      </w:r>
    </w:p>
    <w:p>
      <w:pPr>
        <w:pStyle w:val="Normal"/>
        <w:ind w:hanging="1701" w:start="1701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Federal Government Affairs, Enron Corp., Washington D.C.</w:t>
      </w:r>
    </w:p>
    <w:p>
      <w:pPr>
        <w:pStyle w:val="Normal"/>
        <w:ind w:hanging="1701" w:start="1701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hanging="1701" w:start="1701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hanging="1701" w:start="1701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hanging="1701" w:start="1701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Absatz-Standardschriftart">
    <w:name w:val="Absatz-Standardschriftar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8"/>
    </w:rPr>
  </w:style>
  <w:style w:type="paragraph" w:styleId="BodyText">
    <w:name w:val="Body Text"/>
    <w:basedOn w:val="Normal"/>
    <w:pPr>
      <w:spacing w:before="0" w:after="16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extkrper2">
    <w:name w:val="Textkörper 2"/>
    <w:basedOn w:val="Normal"/>
    <w:qFormat/>
    <w:pPr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pPr>
      <w:ind w:hanging="1701" w:start="1701" w:end="0"/>
      <w:jc w:val="both"/>
    </w:pPr>
    <w:rPr>
      <w:rFonts w:ascii="Arial" w:hAnsi="Arial" w:cs="Arial"/>
      <w:sz w:val="22"/>
    </w:rPr>
  </w:style>
  <w:style w:type="paragraph" w:styleId="Textkrper3">
    <w:name w:val="Textkörper 3"/>
    <w:basedOn w:val="Normal"/>
    <w:qFormat/>
    <w:pPr>
      <w:jc w:val="both"/>
    </w:pPr>
    <w:rPr>
      <w:rFonts w:ascii="Arial" w:hAnsi="Arial" w:cs="Arial"/>
      <w:lang w:val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1999-07-02T09:48:00Z</dcterms:created>
  <dc:creator>Lemmings</dc:creator>
  <dc:description/>
  <dc:language>en-CA</dc:language>
  <cp:lastModifiedBy>Templateuser</cp:lastModifiedBy>
  <cp:lastPrinted>1999-07-29T18:10:00Z</cp:lastPrinted>
  <dcterms:modified xsi:type="dcterms:W3CDTF">1999-07-29T13:44:00Z</dcterms:modified>
  <cp:revision>5</cp:revision>
  <dc:subject/>
  <dc:title>Konzept  „Road show“ bei den EU-Beitrittsaspiranten Mittel-/Osteuropas</dc:title>
</cp:coreProperties>
</file>