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u w:val="none"/>
        </w:rPr>
      </w:pPr>
      <w:r>
        <w:rPr>
          <w:sz w:val="20"/>
          <w:u w:val="none"/>
        </w:rPr>
        <w:t>Additional Financial Trading Guidelines</w:t>
      </w:r>
    </w:p>
    <w:p>
      <w:pPr>
        <w:pStyle w:val="Heading1"/>
        <w:ind w:hanging="0" w:start="0"/>
        <w:rPr>
          <w:sz w:val="20"/>
        </w:rPr>
      </w:pPr>
      <w:r>
        <w:rPr>
          <w:sz w:val="20"/>
        </w:rPr>
        <w:t>For Instantly Binding Trades at Time of Trade</w:t>
      </w:r>
    </w:p>
    <w:p>
      <w:pPr>
        <w:pStyle w:val="Normal"/>
        <w:jc w:val="center"/>
        <w:rPr/>
      </w:pPr>
      <w:r>
        <w:rPr/>
        <w:t xml:space="preserve">(For Counterparties introduced to Enron North America Corp. (“ENA”) </w:t>
      </w:r>
    </w:p>
    <w:p>
      <w:pPr>
        <w:pStyle w:val="Normal"/>
        <w:jc w:val="center"/>
        <w:rPr/>
      </w:pPr>
      <w:r>
        <w:rPr/>
        <w:t>by employees of Enron South America (“ESA”) in Argentina)</w:t>
      </w:r>
    </w:p>
    <w:p>
      <w:pPr>
        <w:pStyle w:val="Normal"/>
        <w:jc w:val="center"/>
        <w:rPr/>
      </w:pPr>
      <w:r>
        <w:rPr/>
      </w:r>
    </w:p>
    <w:p>
      <w:pPr>
        <w:pStyle w:val="Normal"/>
        <w:jc w:val="both"/>
        <w:rPr/>
      </w:pPr>
      <w:r>
        <w:rPr/>
        <w:t>The following directions in addition to the standard directions must be followed:</w:t>
      </w:r>
    </w:p>
    <w:p>
      <w:pPr>
        <w:pStyle w:val="Normal"/>
        <w:jc w:val="both"/>
        <w:rPr/>
      </w:pPr>
      <w:r>
        <w:rPr/>
      </w:r>
    </w:p>
    <w:p>
      <w:pPr>
        <w:pStyle w:val="Normal"/>
        <w:jc w:val="both"/>
        <w:rPr/>
      </w:pPr>
      <w:r>
        <w:rPr/>
        <w:t xml:space="preserve">YOU MUST AGREE to </w:t>
      </w:r>
      <w:r>
        <w:rPr>
          <w:b/>
          <w:u w:val="single"/>
        </w:rPr>
        <w:t xml:space="preserve">all </w:t>
      </w:r>
      <w:r>
        <w:rPr/>
        <w:t>of the economic fundamentals of the trade over the phone.  Things such as: commodity, fixed price, floating price and index, duration, etc.</w:t>
      </w:r>
    </w:p>
    <w:p>
      <w:pPr>
        <w:pStyle w:val="Normal"/>
        <w:numPr>
          <w:ilvl w:val="0"/>
          <w:numId w:val="0"/>
        </w:numPr>
        <w:ind w:hanging="0" w:start="0"/>
        <w:jc w:val="both"/>
        <w:rPr/>
      </w:pPr>
      <w:r>
        <w:rPr/>
      </w:r>
    </w:p>
    <w:p>
      <w:pPr>
        <w:pStyle w:val="Normal"/>
        <w:jc w:val="both"/>
        <w:rPr/>
      </w:pPr>
      <w:r>
        <w:rPr/>
        <w:t xml:space="preserve">YOU MUST STATE CLEARLY and unambiguously that the trade is between ENA and the counterparty, and </w:t>
      </w:r>
    </w:p>
    <w:p>
      <w:pPr>
        <w:pStyle w:val="Normal"/>
        <w:numPr>
          <w:ilvl w:val="0"/>
          <w:numId w:val="0"/>
        </w:numPr>
        <w:ind w:hanging="0" w:start="0"/>
        <w:jc w:val="both"/>
        <w:rPr/>
      </w:pPr>
      <w:r>
        <w:rPr/>
      </w:r>
    </w:p>
    <w:p>
      <w:pPr>
        <w:pStyle w:val="BodyText"/>
        <w:jc w:val="both"/>
        <w:rPr>
          <w:b/>
        </w:rPr>
      </w:pPr>
      <w:r>
        <w:rPr>
          <w:b/>
        </w:rPr>
        <w:t>REMEMBER</w:t>
      </w:r>
    </w:p>
    <w:p>
      <w:pPr>
        <w:pStyle w:val="Normal"/>
        <w:jc w:val="both"/>
        <w:rPr/>
      </w:pPr>
      <w:r>
        <w:rPr/>
      </w:r>
    </w:p>
    <w:p>
      <w:pPr>
        <w:pStyle w:val="Normal"/>
        <w:numPr>
          <w:ilvl w:val="0"/>
          <w:numId w:val="2"/>
        </w:numPr>
        <w:jc w:val="both"/>
        <w:rPr/>
      </w:pPr>
      <w:r>
        <w:rPr/>
        <w:t xml:space="preserve">All prior conversations between ESA employees and the counterparty are indicative only and the customer has been instructed by ESA that only the ENA trader may actually bind ENA to any transaction.  It is important, therefore, that you are clear on all the terms of the transaction with the counterparty and that you do not reference any of the prior conversations or documents between ESA and the counterparty as being binding on ENA.  It is also important that you disagree with any statement, suggestion or possible inference made by the person with whom you are talking that the trade is in some way subject to or governed by any of the conversations between ESA and the counterparty.  </w:t>
      </w:r>
    </w:p>
    <w:p>
      <w:pPr>
        <w:pStyle w:val="Normal"/>
        <w:numPr>
          <w:ilvl w:val="0"/>
          <w:numId w:val="0"/>
        </w:numPr>
        <w:ind w:hanging="0" w:start="0"/>
        <w:jc w:val="both"/>
        <w:rPr/>
      </w:pPr>
      <w:r>
        <w:rPr/>
      </w:r>
    </w:p>
    <w:p>
      <w:pPr>
        <w:pStyle w:val="Normal"/>
        <w:numPr>
          <w:ilvl w:val="0"/>
          <w:numId w:val="2"/>
        </w:numPr>
        <w:jc w:val="both"/>
        <w:rPr/>
      </w:pPr>
      <w:r>
        <w:rPr/>
        <w:t xml:space="preserve">If you have any questions, contact any of the following:  </w:t>
      </w:r>
    </w:p>
    <w:p>
      <w:pPr>
        <w:pStyle w:val="Normal"/>
        <w:numPr>
          <w:ilvl w:val="0"/>
          <w:numId w:val="2"/>
        </w:numPr>
        <w:ind w:hanging="360" w:start="1080" w:end="0"/>
        <w:jc w:val="both"/>
        <w:rPr/>
      </w:pPr>
      <w:r>
        <w:rPr>
          <w:b/>
        </w:rPr>
        <w:t xml:space="preserve">Houston:  </w:t>
      </w:r>
      <w:r>
        <w:rPr/>
        <w:t>Sara Shackleton</w:t>
      </w:r>
    </w:p>
    <w:p>
      <w:pPr>
        <w:pStyle w:val="Normal"/>
        <w:numPr>
          <w:ilvl w:val="0"/>
          <w:numId w:val="2"/>
        </w:numPr>
        <w:ind w:hanging="360" w:start="1080" w:end="0"/>
        <w:jc w:val="both"/>
        <w:rPr/>
      </w:pPr>
      <w:r>
        <w:rPr>
          <w:b/>
        </w:rPr>
        <w:t xml:space="preserve">Argentina:  </w:t>
      </w:r>
      <w:r>
        <w:rPr/>
        <w:t>Brent Hendry</w:t>
      </w:r>
    </w:p>
    <w:p>
      <w:pPr>
        <w:pStyle w:val="Normal"/>
        <w:jc w:val="both"/>
        <w:rPr/>
      </w:pPr>
      <w:r>
        <w:rPr/>
      </w:r>
    </w:p>
    <w:sectPr>
      <w:headerReference w:type="default" r:id="rId2"/>
      <w:footerReference w:type="default" r:id="rId3"/>
      <w:type w:val="nextPage"/>
      <w:pgSz w:w="12240" w:h="15840"/>
      <w:pgMar w:left="1440" w:right="864" w:gutter="0" w:header="720" w:top="776"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/mnt/main-storage/datasets/enron-docs/doc/Houstonguidelines.doc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9/20/99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18"/>
      <w:u w:val="single"/>
    </w:rPr>
  </w:style>
  <w:style w:type="character" w:styleId="WW8Num2z0">
    <w:name w:val="WW8Num2z0"/>
    <w:qFormat/>
    <w:rPr>
      <w:b w:val="false"/>
      <w:i w:val="false"/>
      <w:sz w:val="20"/>
    </w:rPr>
  </w:style>
  <w:style w:type="character" w:styleId="WW8Num4z0">
    <w:name w:val="WW8Num4z0"/>
    <w:qFormat/>
    <w:rPr>
      <w:b w:val="false"/>
      <w:i w:val="false"/>
      <w:sz w:val="20"/>
    </w:rPr>
  </w:style>
  <w:style w:type="character" w:styleId="WW8Num5z0">
    <w:name w:val="WW8Num5z0"/>
    <w:qFormat/>
    <w:rPr>
      <w:b w:val="false"/>
      <w:i w:val="false"/>
      <w:sz w:val="20"/>
    </w:rPr>
  </w:style>
  <w:style w:type="character" w:styleId="WW8Num6z0">
    <w:name w:val="WW8Num6z0"/>
    <w:qFormat/>
    <w:rPr>
      <w:b w:val="false"/>
      <w:i w:val="false"/>
      <w:sz w:val="20"/>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1999-11-16T06:10:00Z</dcterms:created>
  <dc:creator>Becky Tlucek</dc:creator>
  <dc:description/>
  <dc:language>en-CA</dc:language>
  <cp:lastModifiedBy>.</cp:lastModifiedBy>
  <cp:lastPrinted>1999-11-05T16:16:00Z</cp:lastPrinted>
  <dcterms:modified xsi:type="dcterms:W3CDTF">1999-11-16T07:01:00Z</dcterms:modified>
  <cp:revision>3</cp:revision>
  <dc:subject/>
  <dc:title>For Instantly Binding Trades</dc:title>
</cp:coreProperties>
</file>