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International Swaps and Derivatives Association, Inc.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shadow/>
          <w:sz w:val="28"/>
        </w:rPr>
      </w:pPr>
      <w:r>
        <w:rPr>
          <w:shadow/>
          <w:sz w:val="28"/>
        </w:rPr>
        <w:t>Energy and Developing Products</w:t>
      </w:r>
    </w:p>
    <w:p>
      <w:pPr>
        <w:pStyle w:val="Normal"/>
        <w:jc w:val="center"/>
        <w:rPr>
          <w:b/>
          <w:i/>
          <w:i/>
          <w:shadow/>
          <w:sz w:val="22"/>
        </w:rPr>
      </w:pPr>
      <w:r>
        <w:rPr>
          <w:b/>
          <w:i/>
          <w:shadow/>
          <w:sz w:val="22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March 6,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The Four Seasons, Houston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8:00 AM</w:t>
        <w:tab/>
        <w:t>Registration and Continental Breakfast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8:45 AM</w:t>
        <w:tab/>
        <w:t>Introduction and Welcoming Remarks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ISDA Representative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9:00 AM</w:t>
        <w:tab/>
        <w:t>Overview of Energy and Developing Markets</w:t>
      </w:r>
    </w:p>
    <w:p>
      <w:pPr>
        <w:pStyle w:val="Normal"/>
        <w:rPr>
          <w:i/>
          <w:i/>
          <w:sz w:val="22"/>
        </w:rPr>
      </w:pPr>
      <w:r>
        <w:rPr>
          <w:sz w:val="22"/>
        </w:rPr>
        <w:tab/>
        <w:tab/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/>
      </w:pPr>
      <w:r>
        <w:rPr>
          <w:sz w:val="22"/>
        </w:rPr>
        <w:t xml:space="preserve">  </w:t>
      </w:r>
      <w:r>
        <w:rPr>
          <w:b/>
          <w:sz w:val="22"/>
        </w:rPr>
        <w:t>9:30 AM</w:t>
        <w:tab/>
        <w:t>Panel Discussion on Recent Events and the Growth of New Products</w:t>
      </w:r>
    </w:p>
    <w:p>
      <w:pPr>
        <w:pStyle w:val="Normal"/>
        <w:rPr/>
      </w:pPr>
      <w:r>
        <w:rPr>
          <w:sz w:val="22"/>
        </w:rPr>
        <w:tab/>
        <w:tab/>
        <w:t xml:space="preserve">Moderator: </w:t>
      </w:r>
      <w:r>
        <w:rPr>
          <w:i/>
          <w:sz w:val="22"/>
        </w:rPr>
        <w:t>Christophe Chassard, Global Head of Structuring and Risk Management,</w:t>
      </w:r>
    </w:p>
    <w:p>
      <w:pPr>
        <w:pStyle w:val="Normal"/>
        <w:ind w:firstLine="720" w:start="2160" w:end="0"/>
        <w:rPr>
          <w:i/>
          <w:i/>
          <w:sz w:val="22"/>
        </w:rPr>
      </w:pPr>
      <w:r>
        <w:rPr>
          <w:i/>
          <w:sz w:val="22"/>
        </w:rPr>
        <w:t>RWE Trading GmbH</w:t>
      </w:r>
    </w:p>
    <w:p>
      <w:pPr>
        <w:pStyle w:val="Normal"/>
        <w:ind w:start="180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1800" w:end="0"/>
        <w:rPr>
          <w:i/>
          <w:i/>
          <w:sz w:val="22"/>
        </w:rPr>
      </w:pPr>
      <w:r>
        <w:rPr>
          <w:i/>
          <w:sz w:val="22"/>
        </w:rPr>
        <w:t>Issues to be discussed include: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 xml:space="preserve">Power Price Spikes 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Delivery Failures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OPEC Production Decisions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Emissions Trading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160" w:leader="none"/>
        </w:tabs>
        <w:ind w:hanging="144" w:start="1944" w:end="0"/>
        <w:rPr>
          <w:sz w:val="22"/>
        </w:rPr>
      </w:pPr>
      <w:r>
        <w:rPr>
          <w:sz w:val="22"/>
        </w:rPr>
        <w:t>New and Developing Products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10:15 AM</w:t>
        <w:tab/>
        <w:t>Morning Break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10:45 AM</w:t>
        <w:tab/>
        <w:t>E-Commerce Panel Discussion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ab/>
      </w:r>
    </w:p>
    <w:p>
      <w:pPr>
        <w:pStyle w:val="Normal"/>
        <w:rPr>
          <w:sz w:val="22"/>
        </w:rPr>
      </w:pPr>
      <w:r>
        <w:rPr>
          <w:i/>
          <w:sz w:val="22"/>
        </w:rPr>
        <w:tab/>
        <w:tab/>
      </w:r>
    </w:p>
    <w:p>
      <w:pPr>
        <w:pStyle w:val="Normal"/>
        <w:rPr>
          <w:sz w:val="22"/>
        </w:rPr>
      </w:pPr>
      <w:r>
        <w:rPr>
          <w:b/>
          <w:sz w:val="22"/>
        </w:rPr>
        <w:t>11:30 AM</w:t>
        <w:tab/>
        <w:t>Public Policy Issues – Europe and North America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Christophe Chassard, Global Head of Structuring and Risk Management, RWE Trading GmbH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ab/>
        <w:tab/>
        <w:t>Kenneth Raisler, Partner, Sullivan &amp; Cromwell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12:00 PM</w:t>
        <w:tab/>
        <w:t>Use of a Single Master Agreement for Physical and Financial Trading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Dede Russo, Title, Reliant Energy</w:t>
      </w:r>
    </w:p>
    <w:p>
      <w:pPr>
        <w:pStyle w:val="Normal"/>
        <w:ind w:firstLine="720" w:start="720" w:end="0"/>
        <w:rPr>
          <w:i/>
          <w:i/>
          <w:sz w:val="22"/>
        </w:rPr>
      </w:pPr>
      <w:r>
        <w:rPr>
          <w:i/>
          <w:sz w:val="22"/>
        </w:rPr>
        <w:t>Elizabeth Sager, Senior Counsel, Enron Capital &amp; Trade Resources Corp.</w:t>
      </w:r>
    </w:p>
    <w:p>
      <w:pPr>
        <w:pStyle w:val="Normal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sz w:val="22"/>
        </w:rPr>
        <w:tab/>
      </w:r>
      <w:r>
        <w:rPr>
          <w:i/>
          <w:sz w:val="22"/>
        </w:rPr>
        <w:t>Issues to be discussed include:</w:t>
      </w:r>
    </w:p>
    <w:p>
      <w:pPr>
        <w:pStyle w:val="Heading4"/>
        <w:numPr>
          <w:ilvl w:val="0"/>
          <w:numId w:val="8"/>
        </w:numPr>
        <w:tabs>
          <w:tab w:val="clear" w:pos="720"/>
          <w:tab w:val="left" w:pos="2160" w:leader="none"/>
          <w:tab w:val="left" w:pos="2520" w:leader="none"/>
        </w:tabs>
        <w:ind w:hanging="720" w:start="2520" w:end="0"/>
        <w:rPr>
          <w:i w:val="false"/>
          <w:i w:val="false"/>
          <w:sz w:val="22"/>
        </w:rPr>
      </w:pPr>
      <w:r>
        <w:rPr>
          <w:i w:val="false"/>
          <w:sz w:val="22"/>
        </w:rPr>
        <w:t>Review of standardized documentation in North America and Europe</w:t>
      </w:r>
    </w:p>
    <w:p>
      <w:pPr>
        <w:pStyle w:val="Heading4"/>
        <w:numPr>
          <w:ilvl w:val="0"/>
          <w:numId w:val="8"/>
        </w:numPr>
        <w:tabs>
          <w:tab w:val="clear" w:pos="720"/>
          <w:tab w:val="left" w:pos="2160" w:leader="none"/>
          <w:tab w:val="left" w:pos="2520" w:leader="none"/>
        </w:tabs>
        <w:ind w:hanging="720" w:start="2520" w:end="0"/>
        <w:rPr>
          <w:i w:val="false"/>
          <w:i w:val="false"/>
          <w:sz w:val="22"/>
        </w:rPr>
      </w:pPr>
      <w:r>
        <w:rPr>
          <w:i w:val="false"/>
          <w:sz w:val="22"/>
        </w:rPr>
        <w:t>Benefits of using a single Master Agreement for all physical and/or financial trading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12:45 PM</w:t>
        <w:tab/>
        <w:t>Luncheon</w:t>
      </w:r>
      <w:r>
        <w:br w:type="page"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International Swaps and Derivatives Association, Inc.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shadow/>
          <w:sz w:val="28"/>
        </w:rPr>
      </w:pPr>
      <w:r>
        <w:rPr>
          <w:shadow/>
          <w:sz w:val="28"/>
        </w:rPr>
        <w:t>Energy and Developing Products</w:t>
      </w:r>
    </w:p>
    <w:p>
      <w:pPr>
        <w:pStyle w:val="Normal"/>
        <w:jc w:val="center"/>
        <w:rPr>
          <w:b/>
          <w:i/>
          <w:i/>
          <w:shadow/>
          <w:sz w:val="22"/>
        </w:rPr>
      </w:pPr>
      <w:r>
        <w:rPr>
          <w:b/>
          <w:i/>
          <w:shadow/>
          <w:sz w:val="22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March 6,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The Four Seasons, Houston</w:t>
      </w:r>
    </w:p>
    <w:p>
      <w:pPr>
        <w:pStyle w:val="Normal"/>
        <w:jc w:val="center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D8D8D8" w:val="clear"/>
        <w:ind w:hanging="0" w:start="0"/>
        <w:rPr>
          <w:sz w:val="22"/>
        </w:rPr>
      </w:pPr>
      <w:r>
        <w:rPr>
          <w:sz w:val="22"/>
        </w:rPr>
        <w:t>Program Agenda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ind w:hanging="720" w:start="720" w:end="0"/>
        <w:rPr/>
      </w:pPr>
      <w:r>
        <w:rPr>
          <w:b/>
          <w:sz w:val="22"/>
        </w:rPr>
        <w:t>Note:</w:t>
        <w:tab/>
        <w:t>After lunch, starting at 2:00 PM, there will be two sessions with a variety of topics.  Delegates may select one workshop topic during each session</w:t>
      </w:r>
      <w:r>
        <w:rPr>
          <w:sz w:val="22"/>
        </w:rPr>
        <w:t xml:space="preserve">.  </w:t>
      </w:r>
      <w:r>
        <w:rPr>
          <w:b/>
          <w:sz w:val="22"/>
        </w:rPr>
        <w:t xml:space="preserve"> </w:t>
      </w:r>
    </w:p>
    <w:p>
      <w:pPr>
        <w:pStyle w:val="BodyText"/>
        <w:pBdr>
          <w:top w:val="nil"/>
          <w:left w:val="nil"/>
          <w:bottom w:val="nil"/>
          <w:right w:val="nil"/>
        </w:pBdr>
        <w:ind w:hanging="360" w:start="720" w:end="0"/>
        <w:rPr>
          <w:b/>
          <w:i w:val="false"/>
          <w:i w:val="false"/>
          <w:caps/>
          <w:sz w:val="22"/>
        </w:rPr>
      </w:pPr>
      <w:r>
        <w:rPr>
          <w:b/>
          <w:i w:val="false"/>
          <w:caps/>
          <w:sz w:val="22"/>
        </w:rPr>
      </w:r>
    </w:p>
    <w:p>
      <w:pPr>
        <w:pStyle w:val="BodyText"/>
        <w:pBdr>
          <w:top w:val="nil"/>
          <w:left w:val="nil"/>
          <w:bottom w:val="nil"/>
          <w:right w:val="nil"/>
        </w:pBdr>
        <w:rPr/>
      </w:pPr>
      <w:r>
        <w:rPr>
          <w:b/>
          <w:i w:val="false"/>
          <w:caps/>
          <w:sz w:val="22"/>
        </w:rPr>
        <w:t>SESSION One</w:t>
      </w:r>
      <w:r>
        <w:rPr>
          <w:b/>
          <w:i w:val="false"/>
          <w:sz w:val="22"/>
        </w:rPr>
        <w:t xml:space="preserve"> (2:00 – 3:15 PM):  Delegates may select one workshop topic for each session.    </w:t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  <w:t xml:space="preserve">Workshops 1 and 2 in each session will provide global and regional perspectives on different product types with a focus on business and trading issues.  Issues to be discussed include:  transaction structures, indices and other measurements, physical delivery and market participants. 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>Workshop 1.</w:t>
        <w:tab/>
        <w:t>Electricity Trading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>Christophe Chassard, Global Head of Structuring and Risk Management, RWE Trading GmbH</w:t>
      </w:r>
    </w:p>
    <w:p>
      <w:pPr>
        <w:pStyle w:val="Normal"/>
        <w:ind w:start="1800" w:end="0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>Workshop 2.</w:t>
        <w:tab/>
        <w:t>Bandwidth  Trading</w:t>
      </w:r>
    </w:p>
    <w:p>
      <w:pPr>
        <w:pStyle w:val="Normal"/>
        <w:ind w:start="108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>Workshop 3.</w:t>
        <w:tab/>
        <w:t>Documenting Energy and Power Derivatives Under the 1992 ISDA Master Agreements</w:t>
      </w:r>
    </w:p>
    <w:p>
      <w:pPr>
        <w:pStyle w:val="BodyTextIndent"/>
        <w:ind w:start="1440" w:end="0"/>
        <w:rPr>
          <w:i/>
          <w:i/>
        </w:rPr>
      </w:pPr>
      <w:r>
        <w:rPr>
          <w:i/>
        </w:rPr>
        <w:t>This workshop, repeated in session two, is for attendees who are interested in a more in-depth understanding of the ISDA Master Agreement and how it can be used to document energy and power derivatives.</w:t>
      </w:r>
    </w:p>
    <w:p>
      <w:pPr>
        <w:pStyle w:val="Normal"/>
        <w:ind w:firstLine="720" w:start="360" w:end="0"/>
        <w:rPr>
          <w:b/>
          <w:i/>
          <w:i/>
          <w:sz w:val="22"/>
          <w:u w:val="single"/>
        </w:rPr>
      </w:pPr>
      <w:r>
        <w:rPr>
          <w:b/>
          <w:i/>
          <w:sz w:val="22"/>
          <w:u w:val="single"/>
        </w:rPr>
      </w:r>
    </w:p>
    <w:p>
      <w:pPr>
        <w:pStyle w:val="Heading9"/>
        <w:ind w:hanging="0" w:start="1440" w:end="0"/>
        <w:rPr>
          <w:sz w:val="22"/>
        </w:rPr>
      </w:pPr>
      <w:r>
        <w:rPr>
          <w:sz w:val="22"/>
        </w:rPr>
        <w:t>An Overview of the Architecture of the 1992 ISDA Master Agreements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900" w:leader="none"/>
          <w:tab w:val="left" w:pos="1800" w:leader="none"/>
        </w:tabs>
        <w:ind w:hanging="144" w:start="1584" w:end="0"/>
        <w:rPr>
          <w:sz w:val="22"/>
        </w:rPr>
      </w:pPr>
      <w:r>
        <w:rPr>
          <w:sz w:val="22"/>
        </w:rPr>
        <w:t>Definitions and Confirmations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800" w:leader="none"/>
        </w:tabs>
        <w:ind w:hanging="144" w:start="1584" w:end="0"/>
        <w:rPr>
          <w:sz w:val="22"/>
        </w:rPr>
      </w:pPr>
      <w:r>
        <w:rPr>
          <w:sz w:val="22"/>
        </w:rPr>
        <w:t>User’s Guide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800" w:leader="none"/>
        </w:tabs>
        <w:ind w:hanging="144" w:start="1584" w:end="0"/>
        <w:rPr>
          <w:sz w:val="22"/>
        </w:rPr>
      </w:pPr>
      <w:r>
        <w:rPr>
          <w:sz w:val="22"/>
        </w:rPr>
        <w:t>Recent Developments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800" w:leader="none"/>
        </w:tabs>
        <w:ind w:hanging="144" w:start="1584" w:end="0"/>
        <w:rPr>
          <w:sz w:val="22"/>
        </w:rPr>
      </w:pPr>
      <w:r>
        <w:rPr>
          <w:sz w:val="22"/>
        </w:rPr>
        <w:t xml:space="preserve">Conflict of Law Issues 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6"/>
        <w:ind w:firstLine="720" w:start="720" w:end="0"/>
        <w:rPr>
          <w:sz w:val="22"/>
        </w:rPr>
      </w:pPr>
      <w:r>
        <w:rPr>
          <w:sz w:val="22"/>
        </w:rPr>
        <w:t>Mastering the 1992 ISDA Master Agreements</w:t>
      </w:r>
    </w:p>
    <w:p>
      <w:pPr>
        <w:pStyle w:val="Normal"/>
        <w:ind w:start="1440" w:end="0"/>
        <w:rPr>
          <w:sz w:val="22"/>
        </w:rPr>
      </w:pPr>
      <w:r>
        <w:rPr>
          <w:sz w:val="22"/>
        </w:rPr>
      </w:r>
    </w:p>
    <w:p>
      <w:pPr>
        <w:pStyle w:val="Heading7"/>
        <w:numPr>
          <w:ilvl w:val="0"/>
          <w:numId w:val="6"/>
        </w:numPr>
        <w:tabs>
          <w:tab w:val="left" w:pos="2160" w:leader="none"/>
          <w:tab w:val="left" w:pos="2520" w:leader="none"/>
          <w:tab w:val="left" w:pos="2700" w:leader="none"/>
        </w:tabs>
        <w:ind w:hanging="360" w:start="2520" w:end="0"/>
        <w:rPr>
          <w:sz w:val="22"/>
        </w:rPr>
      </w:pPr>
      <w:r>
        <w:rPr>
          <w:sz w:val="22"/>
        </w:rPr>
        <w:t>The Basics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664" w:leader="none"/>
        </w:tabs>
        <w:ind w:hanging="144" w:start="2448" w:end="0"/>
        <w:rPr>
          <w:sz w:val="22"/>
        </w:rPr>
      </w:pPr>
      <w:r>
        <w:rPr>
          <w:sz w:val="22"/>
        </w:rPr>
        <w:t>Payment Mechanics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2664" w:leader="none"/>
        </w:tabs>
        <w:ind w:hanging="144" w:start="2448" w:end="0"/>
        <w:rPr>
          <w:sz w:val="22"/>
        </w:rPr>
      </w:pPr>
      <w:r>
        <w:rPr>
          <w:sz w:val="22"/>
        </w:rPr>
        <w:t>Representations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2664" w:leader="none"/>
        </w:tabs>
        <w:ind w:hanging="144" w:start="2448" w:end="0"/>
        <w:rPr>
          <w:sz w:val="22"/>
        </w:rPr>
      </w:pPr>
      <w:r>
        <w:rPr>
          <w:sz w:val="22"/>
        </w:rPr>
        <w:t>Agreements</w:t>
      </w:r>
    </w:p>
    <w:p>
      <w:pPr>
        <w:pStyle w:val="Heading8"/>
        <w:numPr>
          <w:ilvl w:val="0"/>
          <w:numId w:val="0"/>
        </w:numPr>
        <w:tabs>
          <w:tab w:val="left" w:pos="2160" w:leader="none"/>
          <w:tab w:val="left" w:pos="2250" w:leader="none"/>
        </w:tabs>
        <w:ind w:hanging="0" w:start="2160" w:end="0"/>
        <w:rPr>
          <w:sz w:val="22"/>
        </w:rPr>
      </w:pPr>
      <w:r>
        <w:rPr>
          <w:sz w:val="22"/>
        </w:rPr>
      </w:r>
    </w:p>
    <w:p>
      <w:pPr>
        <w:pStyle w:val="Heading8"/>
        <w:numPr>
          <w:ilvl w:val="0"/>
          <w:numId w:val="6"/>
        </w:numPr>
        <w:tabs>
          <w:tab w:val="left" w:pos="2160" w:leader="none"/>
          <w:tab w:val="left" w:pos="2250" w:leader="none"/>
          <w:tab w:val="left" w:pos="2520" w:leader="none"/>
        </w:tabs>
        <w:ind w:hanging="360" w:start="2520" w:end="0"/>
        <w:rPr>
          <w:sz w:val="22"/>
        </w:rPr>
      </w:pPr>
      <w:r>
        <w:rPr>
          <w:sz w:val="22"/>
        </w:rPr>
        <w:t xml:space="preserve">Early Termination 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700" w:leader="none"/>
        </w:tabs>
        <w:ind w:hanging="90" w:start="2430" w:end="0"/>
        <w:jc w:val="both"/>
        <w:rPr>
          <w:sz w:val="22"/>
        </w:rPr>
      </w:pPr>
      <w:r>
        <w:rPr>
          <w:sz w:val="22"/>
        </w:rPr>
        <w:t>Events of Default/Termination Events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700" w:leader="none"/>
        </w:tabs>
        <w:ind w:hanging="90" w:start="2430" w:end="0"/>
        <w:jc w:val="both"/>
        <w:rPr>
          <w:sz w:val="22"/>
        </w:rPr>
      </w:pPr>
      <w:r>
        <w:rPr>
          <w:sz w:val="22"/>
        </w:rPr>
        <w:t>Termination Mechanics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700" w:leader="none"/>
        </w:tabs>
        <w:ind w:hanging="180" w:start="2520" w:end="0"/>
        <w:jc w:val="both"/>
        <w:rPr>
          <w:sz w:val="22"/>
        </w:rPr>
      </w:pPr>
      <w:r>
        <w:rPr>
          <w:sz w:val="22"/>
        </w:rPr>
        <w:t>Calculating Settlement Amounts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700" w:leader="none"/>
          <w:tab w:val="left" w:pos="3060" w:leader="none"/>
        </w:tabs>
        <w:ind w:hanging="720" w:start="3060" w:end="0"/>
        <w:jc w:val="both"/>
        <w:rPr>
          <w:sz w:val="22"/>
        </w:rPr>
      </w:pPr>
      <w:r>
        <w:rPr>
          <w:sz w:val="22"/>
        </w:rPr>
        <w:t>Bankruptcy/Insolvency: Netting and Regulatory Aspects</w:t>
      </w:r>
    </w:p>
    <w:p>
      <w:pPr>
        <w:pStyle w:val="Normal"/>
        <w:ind w:firstLine="72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3:15 PM</w:t>
        <w:tab/>
        <w:t>Afternoon Break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3:45 PM</w:t>
        <w:tab/>
        <w:t>Session Continues</w:t>
      </w:r>
      <w:r>
        <w:br w:type="page"/>
      </w:r>
    </w:p>
    <w:p>
      <w:pPr>
        <w:pStyle w:val="Normal"/>
        <w:tabs>
          <w:tab w:val="clear" w:pos="720"/>
          <w:tab w:val="left" w:pos="360" w:leader="none"/>
        </w:tabs>
        <w:jc w:val="center"/>
        <w:rPr>
          <w:b/>
          <w:sz w:val="28"/>
        </w:rPr>
      </w:pPr>
      <w:r>
        <w:rPr>
          <w:b/>
          <w:sz w:val="28"/>
        </w:rPr>
        <w:t>International Swaps and Derivatives Association, Inc.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>
          <w:shadow/>
          <w:sz w:val="28"/>
        </w:rPr>
      </w:pPr>
      <w:r>
        <w:rPr>
          <w:shadow/>
          <w:sz w:val="28"/>
        </w:rPr>
        <w:t>Energy and Developing Products</w:t>
      </w:r>
    </w:p>
    <w:p>
      <w:pPr>
        <w:pStyle w:val="Normal"/>
        <w:jc w:val="center"/>
        <w:rPr>
          <w:b/>
          <w:i/>
          <w:i/>
          <w:shadow/>
          <w:sz w:val="22"/>
        </w:rPr>
      </w:pPr>
      <w:r>
        <w:rPr>
          <w:b/>
          <w:i/>
          <w:shadow/>
          <w:sz w:val="22"/>
        </w:rPr>
      </w:r>
    </w:p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  <w:t>Tuesday, March 6, 2001</w:t>
      </w:r>
    </w:p>
    <w:p>
      <w:pPr>
        <w:pStyle w:val="Heading3"/>
        <w:ind w:hanging="0" w:start="0"/>
        <w:rPr>
          <w:i/>
          <w:i/>
          <w:sz w:val="22"/>
        </w:rPr>
      </w:pPr>
      <w:r>
        <w:rPr>
          <w:i/>
          <w:sz w:val="22"/>
        </w:rPr>
        <w:t>The Four Seasons, Houston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8D8D8" w:val="clear"/>
        <w:jc w:val="center"/>
        <w:rPr>
          <w:b/>
        </w:rPr>
      </w:pPr>
      <w:r>
        <w:rPr>
          <w:b/>
        </w:rPr>
        <w:t>Program Agenda</w:t>
      </w:r>
    </w:p>
    <w:p>
      <w:pPr>
        <w:pStyle w:val="Normal"/>
        <w:ind w:start="1080" w:end="0"/>
        <w:jc w:val="both"/>
        <w:rPr>
          <w:b/>
        </w:rPr>
      </w:pPr>
      <w:r>
        <w:rPr>
          <w:b/>
        </w:rPr>
      </w:r>
    </w:p>
    <w:p>
      <w:pPr>
        <w:pStyle w:val="Normal"/>
        <w:ind w:start="1080" w:end="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sz w:val="22"/>
        </w:rPr>
        <w:t>SESSION TWO (3:45 – 5:00 PM): Delegates may select one workshop topic for session two</w:t>
      </w:r>
      <w:r>
        <w:rPr>
          <w:sz w:val="22"/>
        </w:rPr>
        <w:t xml:space="preserve">. 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Workshop 1.</w:t>
        <w:tab/>
        <w:t>Weather Derivatives</w:t>
      </w:r>
    </w:p>
    <w:p>
      <w:pPr>
        <w:pStyle w:val="Normal"/>
        <w:tabs>
          <w:tab w:val="clear" w:pos="720"/>
          <w:tab w:val="left" w:pos="360" w:leader="none"/>
        </w:tabs>
        <w:ind w:start="36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ind w:start="36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>Workshop 2.</w:t>
        <w:tab/>
        <w:t>Natural Gas, Coal and Other Energy Products</w:t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360" w:leader="none"/>
        </w:tabs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1080" w:end="0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5"/>
        <w:ind w:hanging="0" w:start="0"/>
        <w:rPr>
          <w:sz w:val="22"/>
        </w:rPr>
      </w:pPr>
      <w:r>
        <w:rPr>
          <w:sz w:val="22"/>
        </w:rPr>
        <w:t>Workshop 3.</w:t>
        <w:tab/>
        <w:t>Documenting Energy and Power Derivatives Under the 1992 ISDA Master Agreements</w:t>
      </w:r>
    </w:p>
    <w:p>
      <w:pPr>
        <w:pStyle w:val="Normal"/>
        <w:ind w:start="1080" w:end="0"/>
        <w:rPr/>
      </w:pPr>
      <w:r>
        <w:rPr>
          <w:sz w:val="22"/>
        </w:rPr>
        <w:tab/>
      </w:r>
      <w:r>
        <w:rPr>
          <w:i/>
          <w:sz w:val="22"/>
        </w:rPr>
        <w:t>This workshop is a repeat of workshop 3 in session one.</w:t>
      </w:r>
    </w:p>
    <w:p>
      <w:pPr>
        <w:pStyle w:val="Normal"/>
        <w:ind w:start="1080" w:end="0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108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  <w:t xml:space="preserve">  </w:t>
      </w:r>
      <w:r>
        <w:rPr>
          <w:b/>
          <w:sz w:val="22"/>
        </w:rPr>
        <w:t>5:00 PM</w:t>
        <w:tab/>
        <w:t>Conference Concludes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hadow/>
          <w:sz w:val="24"/>
        </w:rPr>
      </w:pPr>
      <w:r>
        <w:rPr>
          <w:b/>
          <w:shadow/>
          <w:sz w:val="24"/>
        </w:rPr>
      </w:r>
    </w:p>
    <w:sectPr>
      <w:type w:val="nextPage"/>
      <w:pgSz w:w="12240" w:h="15840"/>
      <w:pgMar w:left="864" w:right="864" w:gutter="0" w:header="0" w:top="1008" w:footer="0" w:bottom="1008"/>
      <w:pgBorders w:display="allPages" w:offsetFrom="text">
        <w:top w:val="single" w:sz="4" w:space="26" w:color="000000"/>
        <w:left w:val="single" w:sz="4" w:space="19" w:color="000000"/>
        <w:bottom w:val="single" w:sz="4" w:space="26" w:color="000000"/>
        <w:right w:val="single" w:sz="4" w:space="19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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b/>
      </w:rPr>
    </w:lvl>
  </w:abstractNum>
  <w:abstractNum w:abstractNumId="15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"/>
      <w:lvlJc w:val="start"/>
      <w:pPr>
        <w:tabs>
          <w:tab w:val="num" w:pos="360"/>
        </w:tabs>
        <w:ind w:start="144" w:hanging="144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1800" w:end="0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360" w:start="144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14"/>
      </w:numPr>
      <w:tabs>
        <w:tab w:val="clear" w:pos="720"/>
        <w:tab w:val="left" w:pos="2160" w:leader="none"/>
      </w:tabs>
      <w:ind w:hanging="0" w:start="216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14"/>
      </w:numPr>
      <w:tabs>
        <w:tab w:val="clear" w:pos="720"/>
        <w:tab w:val="left" w:pos="2160" w:leader="none"/>
      </w:tabs>
      <w:ind w:hanging="0" w:start="2160" w:end="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180" w:start="162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b/>
      <w:i w:val="false"/>
    </w:rPr>
  </w:style>
  <w:style w:type="character" w:styleId="WW8Num18z0">
    <w:name w:val="WW8Num18z0"/>
    <w:qFormat/>
    <w:rPr>
      <w:rFonts w:ascii="Times New Roman" w:hAnsi="Times New Roman" w:cs="Times New Roman"/>
      <w:b/>
      <w:i w:val="false"/>
      <w:sz w:val="22"/>
    </w:rPr>
  </w:style>
  <w:style w:type="character" w:styleId="WW8Num19z0">
    <w:name w:val="WW8Num19z0"/>
    <w:qFormat/>
    <w:rPr>
      <w:b/>
      <w:i w:val="false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b/>
      <w:i w:val="false"/>
    </w:rPr>
  </w:style>
  <w:style w:type="character" w:styleId="WW8Num23z0">
    <w:name w:val="WW8Num23z0"/>
    <w:qFormat/>
    <w:rPr>
      <w:rFonts w:ascii="Wingdings" w:hAnsi="Wingdings" w:cs="Wingdings"/>
      <w:sz w:val="16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  <w:sz w:val="16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b/>
      <w:i w:val="false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  <w:sz w:val="16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Wingdings" w:hAnsi="Wingdings" w:cs="Wingdings"/>
      <w:sz w:val="16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Wingdings" w:hAnsi="Wingdings" w:cs="Wingdings"/>
      <w:sz w:val="16"/>
    </w:rPr>
  </w:style>
  <w:style w:type="character" w:styleId="WW8Num50z0">
    <w:name w:val="WW8Num50z0"/>
    <w:qFormat/>
    <w:rPr>
      <w:rFonts w:ascii="Times New Roman" w:hAnsi="Times New Roman" w:cs="Times New Roman"/>
      <w:b/>
      <w:i w:val="false"/>
      <w:sz w:val="22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Wingdings" w:hAnsi="Wingdings" w:cs="Wingdings"/>
      <w:sz w:val="16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Wingdings" w:hAnsi="Wingdings" w:cs="Wingdings"/>
      <w:sz w:val="16"/>
    </w:rPr>
  </w:style>
  <w:style w:type="character" w:styleId="WW8Num60z0">
    <w:name w:val="WW8Num60z0"/>
    <w:qFormat/>
    <w:rPr>
      <w:b/>
      <w:i w:val="false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/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0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b/>
      <w:i/>
    </w:rPr>
  </w:style>
  <w:style w:type="paragraph" w:styleId="BodyText3">
    <w:name w:val="Body Text 3"/>
    <w:basedOn w:val="Normal"/>
    <w:qFormat/>
    <w:pPr>
      <w:ind w:hanging="0" w:start="0" w:end="-180"/>
    </w:pPr>
    <w:rPr>
      <w:rFonts w:ascii="Arial" w:hAnsi="Arial" w:cs="Arial"/>
      <w:lang w:eastAsia="en-US"/>
    </w:rPr>
  </w:style>
  <w:style w:type="paragraph" w:styleId="BlockText">
    <w:name w:val="Block Text"/>
    <w:basedOn w:val="Normal"/>
    <w:qFormat/>
    <w:pPr>
      <w:ind w:hanging="0" w:start="360" w:end="-180"/>
    </w:pPr>
    <w:rPr>
      <w:sz w:val="18"/>
    </w:rPr>
  </w:style>
  <w:style w:type="paragraph" w:styleId="BodyTextIndent">
    <w:name w:val="Body Text Indent"/>
    <w:basedOn w:val="Normal"/>
    <w:pPr>
      <w:ind w:hanging="0" w:start="1080" w:end="0"/>
    </w:pPr>
    <w:rPr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2000-12-12T13:05:00Z</dcterms:created>
  <dc:creator>Alison Smythe</dc:creator>
  <dc:description/>
  <dc:language>en-CA</dc:language>
  <cp:lastModifiedBy>Alison Smythe</cp:lastModifiedBy>
  <cp:lastPrinted>2000-12-13T11:04:00Z</cp:lastPrinted>
  <dcterms:modified xsi:type="dcterms:W3CDTF">2000-12-13T13:34:00Z</dcterms:modified>
  <cp:revision>3</cp:revision>
  <dc:subject/>
  <dc:title>International Swaps and Derivatives Association, Inc</dc:title>
</cp:coreProperties>
</file>