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rFonts w:ascii="Helv;Arial" w:hAnsi="Helv;Arial" w:cs="Helv;Arial"/>
          <w:b/>
          <w:bCs/>
          <w:color w:val="000000"/>
          <w:sz w:val="32"/>
          <w:szCs w:val="32"/>
        </w:rPr>
      </w:pPr>
      <w:r>
        <w:rPr>
          <w:rFonts w:cs="Helv;Arial" w:ascii="Helv;Arial" w:hAnsi="Helv;Arial"/>
          <w:b/>
          <w:bCs/>
          <w:color w:val="000000"/>
          <w:sz w:val="32"/>
          <w:szCs w:val="32"/>
        </w:rPr>
        <w:t>How Did Hyperion Help Reliant Energy Leverage their ERP and Data Warehouse Investments?  How did Reliant Energy Address the Consolidation, Reporting, Analysis, Modeling, Budgeting and Forecasting Issues that existed within SAP?</w:t>
      </w:r>
    </w:p>
    <w:p>
      <w:pPr>
        <w:pStyle w:val="Normal"/>
        <w:autoSpaceDE w:val="false"/>
        <w:spacing w:lineRule="atLeast" w:line="240"/>
        <w:jc w:val="center"/>
        <w:rPr>
          <w:rFonts w:ascii="Helv;Arial" w:hAnsi="Helv;Arial" w:cs="Helv;Arial"/>
          <w:b/>
          <w:bCs/>
          <w:color w:val="000000"/>
          <w:sz w:val="32"/>
          <w:szCs w:val="32"/>
        </w:rPr>
      </w:pPr>
      <w:r>
        <w:rPr>
          <w:rFonts w:cs="Helv;Arial" w:ascii="Helv;Arial" w:hAnsi="Helv;Arial"/>
          <w:b/>
          <w:bCs/>
          <w:color w:val="000000"/>
          <w:sz w:val="32"/>
          <w:szCs w:val="32"/>
        </w:rPr>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jc w:val="center"/>
        <w:rPr>
          <w:rFonts w:ascii="Helv;Arial" w:hAnsi="Helv;Arial" w:cs="Helv;Arial"/>
          <w:b/>
          <w:bCs/>
          <w:color w:val="000000"/>
          <w:sz w:val="32"/>
          <w:szCs w:val="32"/>
        </w:rPr>
      </w:pPr>
      <w:r>
        <w:rPr>
          <w:rFonts w:cs="Helv;Arial" w:ascii="Helv;Arial" w:hAnsi="Helv;Arial"/>
          <w:b/>
          <w:bCs/>
          <w:color w:val="000000"/>
          <w:sz w:val="32"/>
          <w:szCs w:val="32"/>
        </w:rPr>
        <w:t>"Delivered via a corporate Intranet portal, SPARC [Systemized Performance Analysis and</w:t>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jc w:val="center"/>
        <w:rPr>
          <w:rFonts w:ascii="Helv;Arial" w:hAnsi="Helv;Arial" w:cs="Helv;Arial"/>
          <w:b/>
          <w:bCs/>
          <w:color w:val="000000"/>
          <w:sz w:val="32"/>
          <w:szCs w:val="32"/>
        </w:rPr>
      </w:pPr>
      <w:r>
        <w:rPr>
          <w:rFonts w:cs="Helv;Arial" w:ascii="Helv;Arial" w:hAnsi="Helv;Arial"/>
          <w:b/>
          <w:bCs/>
          <w:color w:val="000000"/>
          <w:sz w:val="32"/>
          <w:szCs w:val="32"/>
        </w:rPr>
        <w:t>Reporting Channel] provides: forward looking, integrated financial statements ... a repository for variance explanation across forecast cycles; and a communicator of performance data."</w:t>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rPr>
          <w:rFonts w:ascii="Helv;Arial" w:hAnsi="Helv;Arial" w:cs="Helv;Arial"/>
          <w:b/>
          <w:bCs/>
          <w:i/>
          <w:i/>
          <w:iCs/>
          <w:color w:val="000000"/>
          <w:sz w:val="32"/>
          <w:szCs w:val="32"/>
        </w:rPr>
      </w:pPr>
      <w:r>
        <w:rPr>
          <w:rFonts w:cs="Helv;Arial" w:ascii="Helv;Arial" w:hAnsi="Helv;Arial"/>
          <w:b/>
          <w:bCs/>
          <w:i/>
          <w:iCs/>
          <w:color w:val="000000"/>
          <w:sz w:val="32"/>
          <w:szCs w:val="32"/>
        </w:rPr>
        <w:t>Commentary by David Michie, Reliant Energy</w:t>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jc w:val="center"/>
        <w:rPr>
          <w:rFonts w:ascii="Helv;Arial" w:hAnsi="Helv;Arial" w:cs="Helv;Arial"/>
          <w:b/>
          <w:bCs/>
          <w:i/>
          <w:i/>
          <w:iCs/>
          <w:color w:val="000000"/>
          <w:sz w:val="32"/>
          <w:szCs w:val="32"/>
        </w:rPr>
      </w:pPr>
      <w:r>
        <w:rPr>
          <w:rFonts w:cs="Helv;Arial" w:ascii="Helv;Arial" w:hAnsi="Helv;Arial"/>
          <w:b/>
          <w:bCs/>
          <w:i/>
          <w:iCs/>
          <w:color w:val="000000"/>
          <w:sz w:val="32"/>
          <w:szCs w:val="32"/>
        </w:rPr>
      </w:r>
    </w:p>
    <w:p>
      <w:pPr>
        <w:pStyle w:val="Normal"/>
        <w:autoSpaceDE w:val="false"/>
        <w:spacing w:lineRule="atLeast" w:line="240"/>
        <w:rPr/>
      </w:pPr>
      <w:r>
        <w:rPr>
          <w:rFonts w:eastAsia="Helv;Arial" w:cs="Helv;Arial" w:ascii="Helv;Arial" w:hAnsi="Helv;Arial"/>
          <w:b/>
          <w:bCs/>
          <w:color w:val="008000"/>
          <w:u w:val="single"/>
        </w:rPr>
        <w:t xml:space="preserve"> </w:t>
      </w:r>
      <w:r>
        <w:rPr>
          <w:rFonts w:cs="Courier;Courier New" w:ascii="Courier;Courier New" w:hAnsi="Courier;Courier New"/>
          <w:color w:val="000000"/>
          <w:sz w:val="20"/>
          <w:szCs w:val="20"/>
        </w:rPr>
        <w:t>From The Data Warehousing Institute's WHAT WORKS, Volume 11-Case Studies.url&gt;&gt;</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ind w:start="288" w:end="0"/>
        <w:rPr>
          <w:rFonts w:ascii="Courier;Courier New" w:hAnsi="Courier;Courier New" w:cs="Courier;Courier New"/>
          <w:color w:val="000000"/>
          <w:sz w:val="20"/>
          <w:szCs w:val="20"/>
        </w:rPr>
      </w:pPr>
      <w:r>
        <w:rPr>
          <w:rFonts w:eastAsia="Courier;Courier New" w:cs="Courier;Courier New" w:ascii="Courier;Courier New" w:hAnsi="Courier;Courier New"/>
          <w:color w:val="000000"/>
          <w:sz w:val="20"/>
          <w:szCs w:val="20"/>
        </w:rPr>
        <w:t xml:space="preserve"> </w:t>
      </w:r>
      <w:hyperlink r:id="rId2">
        <w:r>
          <w:rPr>
            <w:rStyle w:val="Hyperlink"/>
          </w:rPr>
          <w:t>http://www.dw-institute.com/whatworks11/cs/cs7/cs7.html</w:t>
        </w:r>
      </w:hyperlink>
    </w:p>
    <w:p>
      <w:pPr>
        <w:pStyle w:val="Normal"/>
        <w:keepNext w:val="true"/>
        <w:autoSpaceDE w:val="false"/>
        <w:spacing w:lineRule="atLeast" w:line="240" w:before="240" w:after="0"/>
        <w:rPr/>
      </w:pPr>
      <w:r>
        <w:rPr>
          <w:b/>
          <w:bCs/>
          <w:color w:val="FF0000"/>
        </w:rPr>
        <w:t>Join us Tuesday, October 30th, 2001 at The Four Seasons Hotel to understand how Reliant Energy has addressed the major changes in its industry so that it now has the ability to manage the short-term and long-term business horizons in a more deregulated world.  Reliant Energy, Arthur Andersen, and Thinkfast Consulting will present on how Reliant Energy leveraged their ERP and Data Warehouse investments with Hyperion to create SPARC, their reporting, analysis, budgeting, forecasting and modeling system.</w:t>
      </w:r>
      <w:r>
        <w:rPr>
          <w:b/>
          <w:bCs/>
          <w:color w:val="0000FF"/>
          <w:sz w:val="28"/>
          <w:szCs w:val="28"/>
        </w:rPr>
        <w:t xml:space="preserve"> </w:t>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rPr>
          <w:b/>
          <w:bCs/>
          <w:color w:val="0000FF"/>
          <w:sz w:val="28"/>
          <w:szCs w:val="28"/>
        </w:rPr>
      </w:pPr>
      <w:r>
        <w:rPr>
          <w:b/>
          <w:bCs/>
          <w:color w:val="0000FF"/>
          <w:sz w:val="28"/>
          <w:szCs w:val="28"/>
        </w:rPr>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rPr/>
      </w:pPr>
      <w:r>
        <w:rPr>
          <w:b/>
          <w:bCs/>
          <w:color w:val="0000FF"/>
          <w:sz w:val="28"/>
          <w:szCs w:val="28"/>
        </w:rPr>
        <w:t xml:space="preserve">Prior to Hyperion, according to David Michie, </w:t>
      </w:r>
      <w:r>
        <w:rPr>
          <w:color w:val="000000"/>
        </w:rPr>
        <w:t>"...previous plan, actuals, and one-year forecast updates came from separate source systems utilizing different account definitions and formats, which made comparability and consolidation very difficult. This led to analysts re-formatting data, adjusting links, and modifying formulas. In addition, update-to-update changes could not be identified on a real-time basis."</w:t>
      </w:r>
    </w:p>
    <w:p>
      <w:pPr>
        <w:pStyle w:val="Normal"/>
        <w:autoSpaceDE w:val="false"/>
        <w:spacing w:lineRule="atLeast" w:line="240" w:before="240" w:after="0"/>
        <w:rPr>
          <w:b/>
          <w:bCs/>
          <w:color w:val="0000FF"/>
          <w:sz w:val="28"/>
          <w:szCs w:val="28"/>
        </w:rPr>
      </w:pPr>
      <w:r>
        <w:rPr>
          <w:b/>
          <w:bCs/>
          <w:color w:val="0000FF"/>
          <w:sz w:val="28"/>
          <w:szCs w:val="28"/>
        </w:rPr>
        <w:t xml:space="preserve"> </w:t>
      </w:r>
      <w:r>
        <w:rPr>
          <w:b/>
          <w:bCs/>
          <w:color w:val="0000FF"/>
          <w:sz w:val="28"/>
          <w:szCs w:val="28"/>
        </w:rPr>
        <w:t xml:space="preserve">Learn how Reliant Energy leverages Hyperion Solutions to: </w:t>
      </w:r>
    </w:p>
    <w:p>
      <w:pPr>
        <w:pStyle w:val="Normal"/>
        <w:autoSpaceDE w:val="false"/>
        <w:spacing w:lineRule="atLeast" w:line="240"/>
        <w:rPr/>
      </w:pPr>
      <w:r>
        <w:rPr>
          <w:rFonts w:cs="Wingdings" w:ascii="Wingdings" w:hAnsi="Wingdings"/>
          <w:color w:val="000000"/>
        </w:rPr>
        <w:sym w:font="Wingdings" w:char="f0fc"/>
      </w:r>
      <w:r>
        <w:rPr>
          <w:rFonts w:cs="Wingdings" w:ascii="Wingdings" w:hAnsi="Wingdings"/>
          <w:color w:val="000000"/>
        </w:rPr>
        <w:tab/>
      </w:r>
      <w:r>
        <w:rPr>
          <w:color w:val="000000"/>
        </w:rPr>
        <w:t>Reduce its Forecasting and Management Cycle from 8-10 days to 2-3 days</w:t>
      </w:r>
    </w:p>
    <w:p>
      <w:pPr>
        <w:pStyle w:val="Normal"/>
        <w:autoSpaceDE w:val="false"/>
        <w:spacing w:lineRule="atLeast" w:line="240"/>
        <w:ind w:hanging="720" w:start="720" w:end="0"/>
        <w:rPr/>
      </w:pPr>
      <w:r>
        <w:rPr>
          <w:rFonts w:cs="Wingdings" w:ascii="Wingdings" w:hAnsi="Wingdings"/>
          <w:color w:val="000000"/>
        </w:rPr>
        <w:sym w:font="Wingdings" w:char="f0fc"/>
      </w:r>
      <w:r>
        <w:rPr>
          <w:rFonts w:cs="Wingdings" w:ascii="Wingdings" w:hAnsi="Wingdings"/>
          <w:color w:val="000000"/>
        </w:rPr>
        <w:tab/>
      </w:r>
      <w:r>
        <w:rPr>
          <w:color w:val="000000"/>
        </w:rPr>
        <w:t>Provide a “single version of the truth” for business rules with the Hyperion Analytic Platform, which has reduced the average decision making horizon from indefinite (multiple internal meetings) to minutes or hours</w:t>
      </w:r>
    </w:p>
    <w:p>
      <w:pPr>
        <w:pStyle w:val="Normal"/>
        <w:autoSpaceDE w:val="false"/>
        <w:spacing w:lineRule="atLeast" w:line="240"/>
        <w:rPr/>
      </w:pPr>
      <w:r>
        <w:rPr>
          <w:rFonts w:cs="Wingdings" w:ascii="Wingdings" w:hAnsi="Wingdings"/>
          <w:color w:val="000000"/>
        </w:rPr>
        <w:sym w:font="Wingdings" w:char="f0fc"/>
      </w:r>
      <w:r>
        <w:rPr>
          <w:rFonts w:cs="Wingdings" w:ascii="Wingdings" w:hAnsi="Wingdings"/>
          <w:color w:val="000000"/>
        </w:rPr>
        <w:tab/>
      </w:r>
      <w:r>
        <w:rPr>
          <w:color w:val="000000"/>
        </w:rPr>
        <w:t>Automate integration with their ERP</w:t>
      </w:r>
    </w:p>
    <w:p>
      <w:pPr>
        <w:pStyle w:val="Normal"/>
        <w:autoSpaceDE w:val="false"/>
        <w:spacing w:lineRule="atLeast" w:line="240"/>
        <w:ind w:hanging="720" w:start="720" w:end="0"/>
        <w:rPr/>
      </w:pPr>
      <w:r>
        <w:rPr>
          <w:rFonts w:cs="Wingdings" w:ascii="Wingdings" w:hAnsi="Wingdings"/>
          <w:color w:val="000000"/>
        </w:rPr>
        <w:sym w:font="Wingdings" w:char="f0fc"/>
      </w:r>
      <w:r>
        <w:rPr>
          <w:rFonts w:cs="Wingdings" w:ascii="Wingdings" w:hAnsi="Wingdings"/>
          <w:color w:val="000000"/>
        </w:rPr>
        <w:tab/>
      </w:r>
      <w:r>
        <w:rPr>
          <w:color w:val="000000"/>
        </w:rPr>
        <w:t>Facilitate reporting, analysis, modeling and planning from multiple data sources - including SAP, Data Warehouse, Legacy and others</w:t>
      </w:r>
    </w:p>
    <w:p>
      <w:pPr>
        <w:pStyle w:val="Normal"/>
        <w:autoSpaceDE w:val="false"/>
        <w:spacing w:lineRule="atLeast" w:line="240"/>
        <w:ind w:hanging="720" w:start="720" w:end="0"/>
        <w:rPr/>
      </w:pPr>
      <w:r>
        <w:rPr>
          <w:rFonts w:cs="Wingdings" w:ascii="Wingdings" w:hAnsi="Wingdings"/>
          <w:color w:val="000000"/>
          <w:sz w:val="20"/>
          <w:szCs w:val="20"/>
        </w:rPr>
        <w:sym w:font="Wingdings" w:char="f0fc"/>
      </w:r>
      <w:r>
        <w:rPr>
          <w:rFonts w:cs="Wingdings" w:ascii="Wingdings" w:hAnsi="Wingdings"/>
          <w:color w:val="000000"/>
          <w:sz w:val="20"/>
          <w:szCs w:val="20"/>
        </w:rPr>
        <w:tab/>
      </w:r>
      <w:r>
        <w:rPr>
          <w:color w:val="000000"/>
        </w:rPr>
        <w:t>Eliminate manual efforts of spreadsheet shadow systems - re-formatting of data, adjusting links, modifying formulas, etc.</w:t>
      </w:r>
    </w:p>
    <w:p>
      <w:pPr>
        <w:pStyle w:val="Normal"/>
        <w:autoSpaceDE w:val="false"/>
        <w:spacing w:lineRule="atLeast" w:line="240"/>
        <w:rPr/>
      </w:pPr>
      <w:r>
        <w:rPr>
          <w:rFonts w:cs="Wingdings" w:ascii="Wingdings" w:hAnsi="Wingdings"/>
          <w:color w:val="000000"/>
          <w:sz w:val="20"/>
          <w:szCs w:val="20"/>
        </w:rPr>
        <w:sym w:font="Wingdings" w:char="f0fc"/>
      </w:r>
      <w:r>
        <w:rPr>
          <w:rFonts w:cs="Wingdings" w:ascii="Wingdings" w:hAnsi="Wingdings"/>
          <w:color w:val="000000"/>
          <w:sz w:val="20"/>
          <w:szCs w:val="20"/>
        </w:rPr>
        <w:tab/>
      </w:r>
      <w:r>
        <w:rPr>
          <w:color w:val="000000"/>
        </w:rPr>
        <w:t xml:space="preserve">Gain an extensible solution that can be leveraged enterprise wide with the Hyperion Analytic Platform </w:t>
      </w:r>
    </w:p>
    <w:p>
      <w:pPr>
        <w:pStyle w:val="Normal"/>
        <w:autoSpaceDE w:val="false"/>
        <w:spacing w:lineRule="atLeast" w:line="240"/>
        <w:rPr/>
      </w:pPr>
      <w:r>
        <w:rPr>
          <w:rFonts w:cs="Wingdings" w:ascii="Wingdings" w:hAnsi="Wingdings"/>
          <w:color w:val="000000"/>
        </w:rPr>
        <w:sym w:font="Wingdings" w:char="f0fc"/>
      </w:r>
      <w:r>
        <w:rPr>
          <w:rFonts w:cs="Wingdings" w:ascii="Wingdings" w:hAnsi="Wingdings"/>
          <w:color w:val="000000"/>
        </w:rPr>
        <w:tab/>
      </w:r>
      <w:r>
        <w:rPr>
          <w:color w:val="000000"/>
        </w:rPr>
        <w:t>Successfully deliver business value, utilizing partnerships with Arthur Andersen and Thinkfast Consulting</w:t>
      </w:r>
    </w:p>
    <w:p>
      <w:pPr>
        <w:pStyle w:val="Normal"/>
        <w:autoSpaceDE w:val="false"/>
        <w:spacing w:lineRule="atLeast" w:line="240"/>
        <w:rPr>
          <w:color w:val="000000"/>
          <w:sz w:val="20"/>
          <w:lang w:val="en-CA" w:eastAsia="en-CA"/>
        </w:rPr>
      </w:pPr>
      <w:r>
        <w:rPr>
          <w:color w:val="000000"/>
          <w:sz w:val="20"/>
          <w:lang w:val="en-CA" w:eastAsia="en-CA"/>
        </w:rPr>
        <w:drawing>
          <wp:anchor behindDoc="0" distT="0" distB="0" distL="114935" distR="114935" simplePos="0" locked="0" layoutInCell="1" allowOverlap="1" relativeHeight="5">
            <wp:simplePos x="0" y="0"/>
            <wp:positionH relativeFrom="column">
              <wp:posOffset>4343400</wp:posOffset>
            </wp:positionH>
            <wp:positionV relativeFrom="paragraph">
              <wp:posOffset>106680</wp:posOffset>
            </wp:positionV>
            <wp:extent cx="1257300" cy="50038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4" t="-10" r="-4" b="-10"/>
                    <a:stretch>
                      <a:fillRect/>
                    </a:stretch>
                  </pic:blipFill>
                  <pic:spPr bwMode="auto">
                    <a:xfrm>
                      <a:off x="0" y="0"/>
                      <a:ext cx="1257300" cy="500380"/>
                    </a:xfrm>
                    <a:prstGeom prst="rect">
                      <a:avLst/>
                    </a:prstGeom>
                    <a:noFill/>
                  </pic:spPr>
                </pic:pic>
              </a:graphicData>
            </a:graphic>
          </wp:anchor>
        </w:drawing>
      </w:r>
    </w:p>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s>
        <w:autoSpaceDE w:val="false"/>
        <w:spacing w:lineRule="atLeast" w:line="240"/>
        <w:ind w:start="288" w:end="0"/>
        <w:rPr>
          <w:color w:val="000000"/>
        </w:rPr>
      </w:pPr>
      <w:r>
        <w:rPr/>
        <w:object w:dxaOrig="1920" w:dyaOrig="64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8.65pt;height:40.2pt" filled="f" o:ole="">
            <v:imagedata r:id="rId5" o:title=""/>
          </v:shape>
          <o:OLEObject Type="Embed" ProgID="" ShapeID="ole_rId4" DrawAspect="Content" ObjectID="_492171419" r:id="rId4"/>
        </w:object>
      </w:r>
    </w:p>
    <w:p>
      <w:pPr>
        <w:pStyle w:val="Normal"/>
        <w:autoSpaceDE w:val="false"/>
        <w:spacing w:lineRule="atLeast" w:line="240"/>
        <w:rPr>
          <w:color w:val="000000"/>
        </w:rPr>
      </w:pPr>
      <w:r>
        <w:rPr>
          <w:color w:val="000000"/>
        </w:rPr>
        <w:tab/>
        <w:tab/>
        <w:tab/>
      </w:r>
    </w:p>
    <w:p>
      <w:pPr>
        <w:pStyle w:val="Normal"/>
        <w:autoSpaceDE w:val="false"/>
        <w:spacing w:lineRule="atLeast" w:line="240"/>
        <w:rPr>
          <w:color w:val="000000"/>
        </w:rPr>
      </w:pPr>
      <w:r>
        <w:rPr>
          <w:color w:val="000000"/>
        </w:rPr>
      </w:r>
    </w:p>
    <w:p>
      <w:pPr>
        <w:pStyle w:val="Normal"/>
        <w:rPr>
          <w:color w:val="000000"/>
          <w:sz w:val="20"/>
          <w:lang w:val="en-CA" w:eastAsia="en-CA"/>
        </w:rPr>
      </w:pPr>
      <w:r>
        <w:rPr>
          <w:color w:val="000000"/>
          <w:sz w:val="20"/>
          <w:lang w:val="en-CA" w:eastAsia="en-CA"/>
        </w:rPr>
        <mc:AlternateContent>
          <mc:Choice Requires="wps">
            <w:drawing>
              <wp:anchor behindDoc="0" distT="0" distB="0" distL="114935" distR="114935" simplePos="0" locked="0" layoutInCell="1" allowOverlap="1" relativeHeight="3">
                <wp:simplePos x="0" y="0"/>
                <wp:positionH relativeFrom="column">
                  <wp:posOffset>914400</wp:posOffset>
                </wp:positionH>
                <wp:positionV relativeFrom="paragraph">
                  <wp:posOffset>53975</wp:posOffset>
                </wp:positionV>
                <wp:extent cx="4800600" cy="0"/>
                <wp:effectExtent l="0" t="5080" r="0" b="5080"/>
                <wp:wrapNone/>
                <wp:docPr id="2" name=""/>
                <a:graphic xmlns:a="http://schemas.openxmlformats.org/drawingml/2006/main">
                  <a:graphicData uri="http://schemas.microsoft.com/office/word/2010/wordprocessingShape">
                    <wps:wsp>
                      <wps:cNvSpPr/>
                      <wps:spPr>
                        <a:xfrm>
                          <a:off x="0" y="0"/>
                          <a:ext cx="4800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4.25pt" to="449.95pt,4.25pt" stroked="t" o:allowincell="f" style="position:absolute">
                <v:stroke color="black" weight="9360" joinstyle="miter" endcap="flat"/>
                <v:fill o:detectmouseclick="t" on="false"/>
                <w10:wrap type="none"/>
              </v:line>
            </w:pict>
          </mc:Fallback>
        </mc:AlternateContent>
      </w:r>
    </w:p>
    <w:p>
      <w:pPr>
        <w:pStyle w:val="Normal"/>
        <w:autoSpaceDE w:val="false"/>
        <w:spacing w:lineRule="atLeast" w:line="240"/>
        <w:jc w:val="center"/>
        <w:rPr/>
      </w:pPr>
      <w:r>
        <w:rPr>
          <w:b/>
          <w:bCs/>
          <w:color w:val="000000"/>
        </w:rPr>
        <w:t>Where:</w:t>
      </w:r>
      <w:r>
        <w:rPr>
          <w:b/>
          <w:bCs/>
          <w:color w:val="0000FF"/>
        </w:rPr>
        <w:t xml:space="preserve"> The Four Seasons</w:t>
      </w:r>
    </w:p>
    <w:p>
      <w:pPr>
        <w:pStyle w:val="Normal"/>
        <w:autoSpaceDE w:val="false"/>
        <w:spacing w:lineRule="atLeast" w:line="240"/>
        <w:jc w:val="center"/>
        <w:rPr>
          <w:color w:val="000000"/>
        </w:rPr>
      </w:pPr>
      <w:r>
        <w:rPr>
          <w:color w:val="000000"/>
        </w:rPr>
        <w:t>1300 Lamar, Houston, TX 77010  (713) 650-1300</w:t>
      </w:r>
    </w:p>
    <w:p>
      <w:pPr>
        <w:pStyle w:val="Normal"/>
        <w:autoSpaceDE w:val="false"/>
        <w:spacing w:lineRule="atLeast" w:line="240"/>
        <w:jc w:val="center"/>
        <w:rPr>
          <w:b/>
          <w:bCs/>
          <w:color w:val="000000"/>
        </w:rPr>
      </w:pPr>
      <w:r>
        <w:rPr>
          <w:b/>
          <w:bCs/>
          <w:color w:val="000000"/>
        </w:rPr>
        <w:t>When: Tues, October 30th, 2001</w:t>
      </w:r>
    </w:p>
    <w:p>
      <w:pPr>
        <w:pStyle w:val="Normal"/>
        <w:autoSpaceDE w:val="false"/>
        <w:spacing w:lineRule="atLeast" w:line="240"/>
        <w:jc w:val="center"/>
        <w:rPr>
          <w:b/>
          <w:bCs/>
          <w:color w:val="000000"/>
        </w:rPr>
      </w:pPr>
      <w:r>
        <w:rPr>
          <w:b/>
          <w:bCs/>
          <w:color w:val="000000"/>
        </w:rPr>
        <w:t>Time: 9:00 AM - 12:00 PM</w:t>
      </w:r>
    </w:p>
    <w:p>
      <w:pPr>
        <w:pStyle w:val="Normal"/>
        <w:autoSpaceDE w:val="false"/>
        <w:spacing w:lineRule="atLeast" w:line="240"/>
        <w:jc w:val="center"/>
        <w:rPr>
          <w:b/>
          <w:bCs/>
          <w:color w:val="000000"/>
        </w:rPr>
      </w:pPr>
      <w:r>
        <w:rPr>
          <w:b/>
          <w:bCs/>
          <w:color w:val="000000"/>
        </w:rPr>
        <w:t>A continental breakfast will be served starting at 8:15 AM.</w:t>
      </w:r>
    </w:p>
    <w:p>
      <w:pPr>
        <w:pStyle w:val="Normal"/>
        <w:jc w:val="center"/>
        <w:rPr/>
      </w:pPr>
      <w:r>
        <w:rPr>
          <w:sz w:val="20"/>
          <w:lang w:val="en-CA" w:eastAsia="en-CA"/>
        </w:rPr>
        <w:t xml:space="preserve"> </w:t>
      </w:r>
      <w:r>
        <mc:AlternateContent>
          <mc:Choice Requires="wps">
            <w:drawing>
              <wp:anchor behindDoc="0" distT="0" distB="0" distL="114935" distR="114935" simplePos="0" locked="0" layoutInCell="1" allowOverlap="1" relativeHeight="4">
                <wp:simplePos x="0" y="0"/>
                <wp:positionH relativeFrom="column">
                  <wp:posOffset>914400</wp:posOffset>
                </wp:positionH>
                <wp:positionV relativeFrom="paragraph">
                  <wp:posOffset>92075</wp:posOffset>
                </wp:positionV>
                <wp:extent cx="4800600" cy="0"/>
                <wp:effectExtent l="0" t="5080" r="0" b="5080"/>
                <wp:wrapNone/>
                <wp:docPr id="3" name=""/>
                <a:graphic xmlns:a="http://schemas.openxmlformats.org/drawingml/2006/main">
                  <a:graphicData uri="http://schemas.microsoft.com/office/word/2010/wordprocessingShape">
                    <wps:wsp>
                      <wps:cNvSpPr/>
                      <wps:spPr>
                        <a:xfrm>
                          <a:off x="0" y="0"/>
                          <a:ext cx="4800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25pt" to="449.95pt,7.25pt" stroked="t" o:allowincell="f" style="position:absolute">
                <v:stroke color="black" weight="9360" joinstyle="miter" endcap="flat"/>
                <v:fill o:detectmouseclick="t" on="false"/>
                <w10:wrap type="none"/>
              </v:line>
            </w:pict>
          </mc:Fallback>
        </mc:AlternateContent>
      </w:r>
      <w:r>
        <w:rPr>
          <w:sz w:val="20"/>
          <w:lang w:val="en-CA" w:eastAsia="en-CA"/>
        </w:rPr>
        <w:t xml:space="preserve"> </w:t>
      </w:r>
    </w:p>
    <w:p>
      <w:pPr>
        <w:pStyle w:val="Normal"/>
        <w:autoSpaceDE w:val="false"/>
        <w:spacing w:lineRule="atLeast" w:line="240"/>
        <w:jc w:val="center"/>
        <w:rPr>
          <w:b/>
          <w:bCs/>
          <w:color w:val="000000"/>
          <w:sz w:val="20"/>
          <w:lang w:val="en-CA" w:eastAsia="en-CA"/>
        </w:rPr>
      </w:pPr>
      <w:r>
        <w:rPr>
          <w:b/>
          <w:bCs/>
          <w:color w:val="000000"/>
          <w:sz w:val="20"/>
          <w:lang w:val="en-CA" w:eastAsia="en-CA"/>
        </w:rPr>
      </w:r>
    </w:p>
    <w:p>
      <w:pPr>
        <w:pStyle w:val="Normal"/>
        <w:keepNext w:val="true"/>
        <w:autoSpaceDE w:val="false"/>
        <w:spacing w:lineRule="atLeast" w:line="240"/>
        <w:rPr>
          <w:b/>
          <w:bCs/>
          <w:color w:val="000000"/>
        </w:rPr>
      </w:pPr>
      <w:r>
        <w:rPr>
          <w:b/>
          <w:bCs/>
          <w:color w:val="000000"/>
        </w:rPr>
      </w:r>
    </w:p>
    <w:p>
      <w:pPr>
        <w:pStyle w:val="Normal"/>
        <w:autoSpaceDE w:val="false"/>
        <w:spacing w:lineRule="atLeast" w:line="240"/>
        <w:jc w:val="center"/>
        <w:rPr>
          <w:b/>
          <w:bCs/>
          <w:color w:val="000000"/>
          <w:sz w:val="28"/>
          <w:szCs w:val="28"/>
        </w:rPr>
      </w:pPr>
      <w:r>
        <w:rPr>
          <w:b/>
          <w:bCs/>
          <w:color w:val="000000"/>
          <w:sz w:val="28"/>
          <w:szCs w:val="28"/>
        </w:rPr>
        <w:t>Agenda</w:t>
      </w:r>
    </w:p>
    <w:p>
      <w:pPr>
        <w:pStyle w:val="Normal"/>
        <w:autoSpaceDE w:val="false"/>
        <w:spacing w:lineRule="atLeast" w:line="240"/>
        <w:ind w:start="1620" w:end="0"/>
        <w:rPr>
          <w:color w:val="000000"/>
        </w:rPr>
      </w:pPr>
      <w:r>
        <w:rPr>
          <w:color w:val="000000"/>
        </w:rPr>
        <w:t>08:15 – 09:00 Registration / Continental Breakfast</w:t>
      </w:r>
    </w:p>
    <w:p>
      <w:pPr>
        <w:pStyle w:val="Normal"/>
        <w:autoSpaceDE w:val="false"/>
        <w:spacing w:lineRule="atLeast" w:line="240"/>
        <w:ind w:start="1620" w:end="0"/>
        <w:rPr>
          <w:color w:val="000000"/>
        </w:rPr>
      </w:pPr>
      <w:r>
        <w:rPr>
          <w:color w:val="000000"/>
        </w:rPr>
        <w:t>09:00 – 09:30 Business Value of Analytics</w:t>
      </w:r>
    </w:p>
    <w:p>
      <w:pPr>
        <w:pStyle w:val="Normal"/>
        <w:autoSpaceDE w:val="false"/>
        <w:spacing w:lineRule="atLeast" w:line="240"/>
        <w:ind w:hanging="1440" w:start="3060" w:end="0"/>
        <w:rPr>
          <w:color w:val="000000"/>
        </w:rPr>
      </w:pPr>
      <w:r>
        <w:rPr>
          <w:color w:val="000000"/>
        </w:rPr>
        <w:t>09:30 – 10:30 Reliant Energy Discussion and Demonstration of Consolidation Process</w:t>
      </w:r>
    </w:p>
    <w:p>
      <w:pPr>
        <w:pStyle w:val="Normal"/>
        <w:autoSpaceDE w:val="false"/>
        <w:spacing w:lineRule="atLeast" w:line="240"/>
        <w:ind w:hanging="1440" w:start="3060" w:end="0"/>
        <w:rPr>
          <w:color w:val="000000"/>
        </w:rPr>
      </w:pPr>
      <w:r>
        <w:rPr>
          <w:color w:val="000000"/>
        </w:rPr>
        <w:t>10:30 – 10:45 Break</w:t>
      </w:r>
    </w:p>
    <w:p>
      <w:pPr>
        <w:pStyle w:val="Normal"/>
        <w:autoSpaceDE w:val="false"/>
        <w:spacing w:lineRule="atLeast" w:line="240"/>
        <w:ind w:hanging="1440" w:start="3060" w:end="0"/>
        <w:rPr>
          <w:color w:val="000000"/>
        </w:rPr>
      </w:pPr>
      <w:r>
        <w:rPr>
          <w:color w:val="000000"/>
        </w:rPr>
        <w:t>10:45 – 11:30 Reliant Energy Discussion and Demonstration of Web Deployed Budgeting, Forecasting and Modeling Process</w:t>
      </w:r>
    </w:p>
    <w:p>
      <w:pPr>
        <w:pStyle w:val="Normal"/>
        <w:autoSpaceDE w:val="false"/>
        <w:spacing w:lineRule="atLeast" w:line="240"/>
        <w:ind w:start="1620" w:end="0"/>
        <w:rPr>
          <w:color w:val="000000"/>
        </w:rPr>
      </w:pPr>
      <w:r>
        <w:rPr>
          <w:color w:val="000000"/>
        </w:rPr>
        <w:t>11:30 – 12:00 Q&amp;A</w:t>
      </w:r>
    </w:p>
    <w:p>
      <w:pPr>
        <w:pStyle w:val="Normal"/>
        <w:autoSpaceDE w:val="false"/>
        <w:spacing w:lineRule="atLeast" w:line="240"/>
        <w:jc w:val="center"/>
        <w:rPr>
          <w:color w:val="000000"/>
        </w:rPr>
      </w:pPr>
      <w:r>
        <w:rPr>
          <w:color w:val="000000"/>
        </w:rPr>
      </w:r>
    </w:p>
    <w:p>
      <w:pPr>
        <w:pStyle w:val="Normal"/>
        <w:autoSpaceDE w:val="false"/>
        <w:spacing w:lineRule="atLeast" w:line="240"/>
        <w:jc w:val="center"/>
        <w:rPr>
          <w:b/>
          <w:bCs/>
          <w:color w:val="0000FF"/>
          <w:sz w:val="28"/>
          <w:szCs w:val="28"/>
        </w:rPr>
      </w:pPr>
      <w:r>
        <w:rPr>
          <w:b/>
          <w:bCs/>
          <w:color w:val="0000FF"/>
          <w:sz w:val="28"/>
          <w:szCs w:val="28"/>
        </w:rPr>
        <w:t>For additional information, please contact Robert Dayton at Robert_Dayton@hyperion.com</w:t>
      </w:r>
    </w:p>
    <w:p>
      <w:pPr>
        <w:pStyle w:val="Normal"/>
        <w:autoSpaceDE w:val="false"/>
        <w:spacing w:lineRule="atLeast" w:line="240" w:before="240" w:after="0"/>
        <w:ind w:start="288" w:end="0"/>
        <w:jc w:val="center"/>
        <w:rPr/>
      </w:pPr>
      <w:r>
        <w:rPr>
          <w:b/>
          <w:bCs/>
          <w:color w:val="000000"/>
          <w:sz w:val="36"/>
          <w:szCs w:val="36"/>
        </w:rPr>
        <w:t>To register for this free seminar, please call 1-800-286-8000 or sign up at Hyperion's website at</w:t>
      </w:r>
      <w:r>
        <w:rPr>
          <w:b/>
          <w:bCs/>
          <w:color w:val="FF0000"/>
          <w:sz w:val="36"/>
          <w:szCs w:val="36"/>
        </w:rPr>
        <w:t xml:space="preserve"> </w:t>
      </w:r>
      <w:r>
        <w:rPr>
          <w:b/>
          <w:bCs/>
          <w:color w:val="0000FF"/>
          <w:sz w:val="36"/>
          <w:szCs w:val="36"/>
          <w:u w:val="single"/>
        </w:rPr>
        <w:t>www.hyperion.com/seminars</w:t>
      </w:r>
    </w:p>
    <w:p>
      <w:pPr>
        <w:pStyle w:val="Normal"/>
        <w:autoSpaceDE w:val="false"/>
        <w:spacing w:lineRule="atLeast" w:line="240" w:before="240" w:after="0"/>
        <w:ind w:start="288" w:end="0"/>
        <w:rPr>
          <w:b/>
          <w:bCs/>
          <w:color w:val="0000FF"/>
          <w:sz w:val="36"/>
          <w:szCs w:val="36"/>
          <w:u w:val="single"/>
        </w:rPr>
      </w:pPr>
      <w:r>
        <w:rPr>
          <w:b/>
          <w:bCs/>
          <w:color w:val="0000FF"/>
          <w:sz w:val="36"/>
          <w:szCs w:val="36"/>
          <w:u w:val="single"/>
        </w:rPr>
      </w:r>
    </w:p>
    <w:p>
      <w:pPr>
        <w:pStyle w:val="Normal"/>
        <w:autoSpaceDE w:val="false"/>
        <w:spacing w:lineRule="atLeast" w:line="240" w:before="240" w:after="0"/>
        <w:ind w:start="288" w:end="0"/>
        <w:rPr>
          <w:b/>
          <w:bCs/>
          <w:color w:val="0000FF"/>
          <w:sz w:val="36"/>
          <w:szCs w:val="36"/>
          <w:u w:val="single"/>
        </w:rPr>
      </w:pPr>
      <w:r>
        <w:rPr>
          <w:b/>
          <w:bCs/>
          <w:color w:val="0000FF"/>
          <w:sz w:val="36"/>
          <w:szCs w:val="36"/>
          <w:u w:val="single"/>
        </w:rPr>
      </w:r>
    </w:p>
    <w:p>
      <w:pPr>
        <w:pStyle w:val="Normal"/>
        <w:autoSpaceDE w:val="false"/>
        <w:spacing w:lineRule="atLeast" w:line="240" w:before="240" w:after="0"/>
        <w:ind w:start="288" w:end="0"/>
        <w:rPr>
          <w:b/>
          <w:bCs/>
          <w:color w:val="0000FF"/>
          <w:sz w:val="36"/>
          <w:szCs w:val="36"/>
          <w:u w:val="single"/>
        </w:rPr>
      </w:pPr>
      <w:r>
        <w:rPr>
          <w:b/>
          <w:bCs/>
          <w:color w:val="0000FF"/>
          <w:sz w:val="36"/>
          <w:szCs w:val="36"/>
          <w:u w:val="single"/>
        </w:rPr>
      </w:r>
    </w:p>
    <w:p>
      <w:pPr>
        <w:pStyle w:val="Normal"/>
        <w:autoSpaceDE w:val="false"/>
        <w:spacing w:lineRule="atLeast" w:line="240" w:before="240" w:after="0"/>
        <w:ind w:start="288" w:end="0"/>
        <w:rPr>
          <w:b/>
          <w:bCs/>
          <w:color w:val="0000FF"/>
          <w:sz w:val="36"/>
          <w:szCs w:val="36"/>
          <w:u w:val="single"/>
        </w:rPr>
      </w:pPr>
      <w:r>
        <w:rPr>
          <w:b/>
          <w:bCs/>
          <w:color w:val="0000FF"/>
          <w:sz w:val="36"/>
          <w:szCs w:val="36"/>
          <w:u w:val="single"/>
        </w:rPr>
      </w:r>
    </w:p>
    <w:p>
      <w:pPr>
        <w:pStyle w:val="Normal"/>
        <w:rPr>
          <w:b/>
          <w:bCs/>
          <w:color w:val="0000FF"/>
          <w:sz w:val="36"/>
          <w:szCs w:val="36"/>
          <w:u w:val="single"/>
        </w:rPr>
      </w:pPr>
      <w:r>
        <w:rPr>
          <w:b/>
          <w:bCs/>
          <w:color w:val="0000FF"/>
          <w:sz w:val="36"/>
          <w:szCs w:val="36"/>
          <w:u w:val="single"/>
        </w:rPr>
      </w:r>
    </w:p>
    <w:sectPr>
      <w:type w:val="nextPage"/>
      <w:pgSz w:w="12240" w:h="15840"/>
      <w:pgMar w:left="1152"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w-institute.com/whatworks11/cs/cs7/cs7.html" TargetMode="External"/><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2001-10-22T16:30:00Z</dcterms:created>
  <dc:creator>Robert Dayton</dc:creator>
  <dc:description/>
  <dc:language>en-CA</dc:language>
  <cp:lastModifiedBy>Robert Dayton</cp:lastModifiedBy>
  <dcterms:modified xsi:type="dcterms:W3CDTF">2001-10-22T16:35:00Z</dcterms:modified>
  <cp:revision>3</cp:revision>
  <dc:subject/>
  <dc:title>Guys </dc:title>
</cp:coreProperties>
</file>