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jpeg" ContentType="image/jpeg"/>
  <Override PartName="/word/media/image5.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 xml:space="preserve">   </w:t>
      </w:r>
      <w:r>
        <w:rPr/>
        <w:drawing>
          <wp:inline distT="0" distB="0" distL="0" distR="0">
            <wp:extent cx="1765300" cy="1009650"/>
            <wp:effectExtent l="0" t="0" r="0" b="0"/>
            <wp:docPr id="1" name="NavTopOpen_0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vTopOpen_01" descr="" title=""/>
                    <pic:cNvPicPr>
                      <a:picLocks noChangeAspect="1" noChangeArrowheads="1"/>
                    </pic:cNvPicPr>
                  </pic:nvPicPr>
                  <pic:blipFill>
                    <a:blip r:embed="rId2"/>
                    <a:srcRect l="-16" t="-36" r="-16" b="-36"/>
                    <a:stretch>
                      <a:fillRect/>
                    </a:stretch>
                  </pic:blipFill>
                  <pic:spPr bwMode="auto">
                    <a:xfrm>
                      <a:off x="0" y="0"/>
                      <a:ext cx="1765300" cy="1009650"/>
                    </a:xfrm>
                    <a:prstGeom prst="rect">
                      <a:avLst/>
                    </a:prstGeom>
                    <a:noFill/>
                  </pic:spPr>
                </pic:pic>
              </a:graphicData>
            </a:graphic>
          </wp:inline>
        </w:drawing>
      </w:r>
      <w:r>
        <w:rPr/>
        <w:drawing>
          <wp:inline distT="0" distB="0" distL="0" distR="0">
            <wp:extent cx="1717675" cy="1009650"/>
            <wp:effectExtent l="0" t="0" r="0" b="0"/>
            <wp:docPr id="2" name="NavTopOpen_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vTopOpen_02" descr="" title=""/>
                    <pic:cNvPicPr>
                      <a:picLocks noChangeAspect="1" noChangeArrowheads="1"/>
                    </pic:cNvPicPr>
                  </pic:nvPicPr>
                  <pic:blipFill>
                    <a:blip r:embed="rId3"/>
                    <a:srcRect l="-15" t="-36" r="-15" b="-36"/>
                    <a:stretch>
                      <a:fillRect/>
                    </a:stretch>
                  </pic:blipFill>
                  <pic:spPr bwMode="auto">
                    <a:xfrm>
                      <a:off x="0" y="0"/>
                      <a:ext cx="1717675" cy="1009650"/>
                    </a:xfrm>
                    <a:prstGeom prst="rect">
                      <a:avLst/>
                    </a:prstGeom>
                    <a:noFill/>
                  </pic:spPr>
                </pic:pic>
              </a:graphicData>
            </a:graphic>
          </wp:inline>
        </w:drawing>
      </w:r>
      <w:r>
        <w:rPr/>
        <w:drawing>
          <wp:inline distT="0" distB="0" distL="0" distR="0">
            <wp:extent cx="1838325" cy="1009650"/>
            <wp:effectExtent l="0" t="0" r="0" b="0"/>
            <wp:docPr id="3" name="NavTopOpen_0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vTopOpen_03" descr="" title=""/>
                    <pic:cNvPicPr>
                      <a:picLocks noChangeAspect="1" noChangeArrowheads="1"/>
                    </pic:cNvPicPr>
                  </pic:nvPicPr>
                  <pic:blipFill>
                    <a:blip r:embed="rId4"/>
                    <a:srcRect l="-20" t="-36" r="-20" b="-36"/>
                    <a:stretch>
                      <a:fillRect/>
                    </a:stretch>
                  </pic:blipFill>
                  <pic:spPr bwMode="auto">
                    <a:xfrm>
                      <a:off x="0" y="0"/>
                      <a:ext cx="1838325" cy="1009650"/>
                    </a:xfrm>
                    <a:prstGeom prst="rect">
                      <a:avLst/>
                    </a:prstGeom>
                    <a:noFill/>
                  </pic:spPr>
                </pic:pic>
              </a:graphicData>
            </a:graphic>
          </wp:inline>
        </w:drawing>
      </w:r>
    </w:p>
    <w:p>
      <w:pPr>
        <w:pStyle w:val="Normal"/>
        <w:rPr/>
      </w:pPr>
      <w:r>
        <w:rPr/>
      </w:r>
    </w:p>
    <w:p>
      <w:pPr>
        <w:pStyle w:val="Normal"/>
        <w:rPr/>
      </w:pPr>
      <w:r>
        <w:rPr/>
        <w:t xml:space="preserve">    </w:t>
      </w:r>
      <w:r>
        <w:rPr/>
        <w:drawing>
          <wp:inline distT="0" distB="0" distL="0" distR="0">
            <wp:extent cx="1095375" cy="1259840"/>
            <wp:effectExtent l="0" t="0" r="0" b="0"/>
            <wp:docPr id="4" name="MAnogol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nogold" descr="" title=""/>
                    <pic:cNvPicPr>
                      <a:picLocks noChangeAspect="1" noChangeArrowheads="1"/>
                    </pic:cNvPicPr>
                  </pic:nvPicPr>
                  <pic:blipFill>
                    <a:blip r:embed="rId5"/>
                    <a:srcRect l="-25" t="-17" r="-25" b="-17"/>
                    <a:stretch>
                      <a:fillRect/>
                    </a:stretch>
                  </pic:blipFill>
                  <pic:spPr bwMode="auto">
                    <a:xfrm>
                      <a:off x="0" y="0"/>
                      <a:ext cx="1095375" cy="1259840"/>
                    </a:xfrm>
                    <a:prstGeom prst="rect">
                      <a:avLst/>
                    </a:prstGeom>
                    <a:noFill/>
                  </pic:spPr>
                </pic:pic>
              </a:graphicData>
            </a:graphic>
          </wp:inline>
        </w:drawing>
      </w:r>
      <w:r>
        <w:rPr/>
        <w:t xml:space="preserve">                                    </w:t>
      </w:r>
      <w:r>
        <w:rPr>
          <w:rFonts w:cs="Verdana" w:ascii="Verdana" w:hAnsi="Verdana"/>
          <w:b/>
          <w:color w:val="FF0000"/>
          <w:sz w:val="18"/>
        </w:rPr>
        <w:drawing>
          <wp:inline distT="0" distB="0" distL="0" distR="0">
            <wp:extent cx="1824990" cy="1152525"/>
            <wp:effectExtent l="0" t="0" r="0" b="0"/>
            <wp:docPr id="5" name="MarkHome" descr="" titl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kHome" descr="" title="">
                      <a:hlinkClick r:id="rId7"/>
                    </pic:cNvPr>
                    <pic:cNvPicPr>
                      <a:picLocks noChangeAspect="1" noChangeArrowheads="1"/>
                    </pic:cNvPicPr>
                  </pic:nvPicPr>
                  <pic:blipFill>
                    <a:blip r:embed="rId6"/>
                    <a:srcRect l="-28" t="-31" r="-28" b="-31"/>
                    <a:stretch>
                      <a:fillRect/>
                    </a:stretch>
                  </pic:blipFill>
                  <pic:spPr bwMode="auto">
                    <a:xfrm>
                      <a:off x="0" y="0"/>
                      <a:ext cx="1824990" cy="1152525"/>
                    </a:xfrm>
                    <a:prstGeom prst="rect">
                      <a:avLst/>
                    </a:prstGeom>
                    <a:noFill/>
                  </pic:spPr>
                </pic:pic>
              </a:graphicData>
            </a:graphic>
          </wp:inline>
        </w:drawing>
      </w:r>
      <w:r>
        <w:rPr/>
        <w:t xml:space="preserve">     </w:t>
      </w:r>
    </w:p>
    <w:p>
      <w:pPr>
        <w:pStyle w:val="Normal"/>
        <w:rPr/>
      </w:pPr>
      <w:r>
        <w:rPr/>
        <w:tab/>
        <w:tab/>
        <w:tab/>
        <w:tab/>
        <w:tab/>
        <w:tab/>
      </w:r>
      <w:hyperlink r:id="rId8">
        <w:r>
          <w:rPr>
            <w:rStyle w:val="Hyperlink"/>
          </w:rPr>
          <w:t>www.hlsr.com/</w:t>
        </w:r>
      </w:hyperlink>
    </w:p>
    <w:p>
      <w:pPr>
        <w:pStyle w:val="Normal"/>
        <w:rPr/>
      </w:pPr>
      <w:r>
        <w:rPr/>
      </w:r>
    </w:p>
    <w:p>
      <w:pPr>
        <w:pStyle w:val="Normal"/>
        <w:rPr>
          <w:rFonts w:ascii="Georgia;Times New Roman" w:hAnsi="Georgia;Times New Roman" w:cs="Georgia;Times New Roman"/>
        </w:rPr>
      </w:pPr>
      <w:r>
        <w:rPr>
          <w:rFonts w:cs="Georgia;Times New Roman" w:ascii="Georgia;Times New Roman" w:hAnsi="Georgia;Times New Roman"/>
        </w:rPr>
        <w:t xml:space="preserve">The Enron Travel Club has tickets to 19 performances of the 2002 Rodeo.  </w:t>
      </w:r>
    </w:p>
    <w:p>
      <w:pPr>
        <w:pStyle w:val="Normal"/>
        <w:rPr/>
      </w:pPr>
      <w:r>
        <w:rPr>
          <w:rFonts w:cs="Georgia;Times New Roman" w:ascii="Georgia;Times New Roman" w:hAnsi="Georgia;Times New Roman"/>
        </w:rPr>
        <w:t xml:space="preserve">For each performance there are 12 tickets.  As part of the presale condition, each member is limited to a </w:t>
      </w:r>
      <w:r>
        <w:rPr>
          <w:rFonts w:cs="Georgia;Times New Roman" w:ascii="Georgia;Times New Roman" w:hAnsi="Georgia;Times New Roman"/>
          <w:u w:val="single"/>
        </w:rPr>
        <w:t>minimum</w:t>
      </w:r>
      <w:r>
        <w:rPr>
          <w:rFonts w:cs="Georgia;Times New Roman" w:ascii="Georgia;Times New Roman" w:hAnsi="Georgia;Times New Roman"/>
        </w:rPr>
        <w:t xml:space="preserve"> of 4 tickets per performance. </w:t>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rPr>
          <w:rFonts w:ascii="Georgia;Times New Roman" w:hAnsi="Georgia;Times New Roman" w:cs="Georgia;Times New Roman"/>
        </w:rPr>
      </w:pPr>
      <w:r>
        <w:rPr>
          <w:rFonts w:cs="Georgia;Times New Roman" w:ascii="Georgia;Times New Roman" w:hAnsi="Georgia;Times New Roman"/>
        </w:rPr>
        <w:t xml:space="preserve">Tickets are in the Upper Level 700 Section and will be in rows 1 – 6. </w:t>
      </w:r>
    </w:p>
    <w:p>
      <w:pPr>
        <w:pStyle w:val="Normal"/>
        <w:rPr/>
      </w:pPr>
      <w:r>
        <w:rPr>
          <w:rFonts w:cs="Georgia;Times New Roman" w:ascii="Georgia;Times New Roman" w:hAnsi="Georgia;Times New Roman"/>
        </w:rPr>
        <w:t xml:space="preserve">Regular price of tickets are $14.00, Enron Travel Club Price </w:t>
      </w:r>
      <w:r>
        <w:rPr>
          <w:rFonts w:cs="Georgia;Times New Roman" w:ascii="Georgia;Times New Roman" w:hAnsi="Georgia;Times New Roman"/>
          <w:u w:val="single"/>
        </w:rPr>
        <w:t>$12.00</w:t>
      </w:r>
      <w:r>
        <w:rPr>
          <w:rFonts w:cs="Georgia;Times New Roman" w:ascii="Georgia;Times New Roman" w:hAnsi="Georgia;Times New Roman"/>
        </w:rPr>
        <w:t>.  The cost of admission to Reliant Hall, Reliant Arena and carnival, excluding the NCHA Finals, is included in the rodeo ticket cost, as is round-trip transportation from Rodeo METRO Express shuttle locations.</w:t>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rPr>
          <w:rFonts w:ascii="Georgia;Times New Roman" w:hAnsi="Georgia;Times New Roman" w:cs="Georgia;Times New Roman"/>
        </w:rPr>
      </w:pPr>
      <w:r>
        <w:rPr>
          <w:rFonts w:cs="Georgia;Times New Roman" w:ascii="Georgia;Times New Roman" w:hAnsi="Georgia;Times New Roman"/>
        </w:rPr>
        <w:t xml:space="preserve">As of 10/21/01, the opening act announced for Feb 12 is the Dixie Chicks.  As for the other 18 performances, no announcements have been made.  The tickets you are buying now are being purchased “pot luck”.  First come, first served.  </w:t>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rPr>
          <w:rFonts w:ascii="Georgia;Times New Roman" w:hAnsi="Georgia;Times New Roman" w:cs="Georgia;Times New Roman"/>
        </w:rPr>
      </w:pPr>
      <w:r>
        <w:rPr>
          <w:rFonts w:cs="Georgia;Times New Roman" w:ascii="Georgia;Times New Roman" w:hAnsi="Georgia;Times New Roman"/>
        </w:rPr>
        <w:t>Click on the Houston Livestock &amp; Rodeo web site for more information.</w:t>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rPr>
          <w:rFonts w:ascii="Georgia;Times New Roman" w:hAnsi="Georgia;Times New Roman" w:cs="Georgia;Times New Roman"/>
        </w:rPr>
      </w:pPr>
      <w:r>
        <w:rPr>
          <w:rFonts w:cs="Georgia;Times New Roman" w:ascii="Georgia;Times New Roman" w:hAnsi="Georgia;Times New Roman"/>
        </w:rPr>
        <w:t>Performance dates are as follows:</w:t>
      </w:r>
    </w:p>
    <w:p>
      <w:pPr>
        <w:pStyle w:val="Normal"/>
        <w:rPr>
          <w:rFonts w:ascii="Georgia;Times New Roman" w:hAnsi="Georgia;Times New Roman" w:cs="Georgia;Times New Roman"/>
        </w:rPr>
      </w:pPr>
      <w:r>
        <w:rPr>
          <w:rFonts w:cs="Georgia;Times New Roman" w:ascii="Georgia;Times New Roman" w:hAnsi="Georgia;Times New Roman"/>
        </w:rPr>
        <w:t>Feb 12, Opening day, Tuesday</w:t>
        <w:tab/>
        <w:t>Feb 19, Tuesday</w:t>
        <w:tab/>
        <w:tab/>
        <w:t>Feb 26, Tuesday</w:t>
      </w:r>
    </w:p>
    <w:p>
      <w:pPr>
        <w:pStyle w:val="Normal"/>
        <w:rPr>
          <w:rFonts w:ascii="Georgia;Times New Roman" w:hAnsi="Georgia;Times New Roman" w:cs="Georgia;Times New Roman"/>
        </w:rPr>
      </w:pPr>
      <w:r>
        <w:rPr>
          <w:rFonts w:cs="Georgia;Times New Roman" w:ascii="Georgia;Times New Roman" w:hAnsi="Georgia;Times New Roman"/>
        </w:rPr>
        <w:t>Feb 13, Wednesday</w:t>
        <w:tab/>
        <w:tab/>
        <w:tab/>
        <w:t>Feb 20, Wednesday</w:t>
        <w:tab/>
        <w:tab/>
        <w:t>Feb 27, Wednesday</w:t>
      </w:r>
    </w:p>
    <w:p>
      <w:pPr>
        <w:pStyle w:val="Normal"/>
        <w:rPr>
          <w:rFonts w:ascii="Georgia;Times New Roman" w:hAnsi="Georgia;Times New Roman" w:cs="Georgia;Times New Roman"/>
        </w:rPr>
      </w:pPr>
      <w:r>
        <w:rPr>
          <w:rFonts w:cs="Georgia;Times New Roman" w:ascii="Georgia;Times New Roman" w:hAnsi="Georgia;Times New Roman"/>
        </w:rPr>
        <w:t>Feb 14, Thursday</w:t>
        <w:tab/>
        <w:tab/>
        <w:tab/>
        <w:t>Feb 21, Thursday</w:t>
        <w:tab/>
        <w:tab/>
        <w:t>Feb 28, Thursday</w:t>
      </w:r>
    </w:p>
    <w:p>
      <w:pPr>
        <w:pStyle w:val="Normal"/>
        <w:rPr>
          <w:rFonts w:ascii="Georgia;Times New Roman" w:hAnsi="Georgia;Times New Roman" w:cs="Georgia;Times New Roman"/>
        </w:rPr>
      </w:pPr>
      <w:r>
        <w:rPr>
          <w:rFonts w:cs="Georgia;Times New Roman" w:ascii="Georgia;Times New Roman" w:hAnsi="Georgia;Times New Roman"/>
        </w:rPr>
        <w:t>Feb 15, Friday</w:t>
        <w:tab/>
        <w:tab/>
        <w:tab/>
        <w:tab/>
        <w:t>Feb 22, Friday</w:t>
        <w:tab/>
        <w:tab/>
        <w:tab/>
        <w:t>Mar 1, Friday</w:t>
      </w:r>
    </w:p>
    <w:p>
      <w:pPr>
        <w:pStyle w:val="Normal"/>
        <w:rPr>
          <w:rFonts w:ascii="Georgia;Times New Roman" w:hAnsi="Georgia;Times New Roman" w:cs="Georgia;Times New Roman"/>
        </w:rPr>
      </w:pPr>
      <w:r>
        <w:rPr>
          <w:rFonts w:cs="Georgia;Times New Roman" w:ascii="Georgia;Times New Roman" w:hAnsi="Georgia;Times New Roman"/>
        </w:rPr>
        <w:t>Feb 16, Saturday</w:t>
        <w:tab/>
        <w:tab/>
        <w:tab/>
        <w:t>Feb 23, Saturday</w:t>
        <w:tab/>
        <w:tab/>
        <w:t>Mar 2, Saturday</w:t>
      </w:r>
    </w:p>
    <w:p>
      <w:pPr>
        <w:pStyle w:val="Normal"/>
        <w:rPr>
          <w:rFonts w:ascii="Georgia;Times New Roman" w:hAnsi="Georgia;Times New Roman" w:cs="Georgia;Times New Roman"/>
        </w:rPr>
      </w:pPr>
      <w:r>
        <w:rPr>
          <w:rFonts w:cs="Georgia;Times New Roman" w:ascii="Georgia;Times New Roman" w:hAnsi="Georgia;Times New Roman"/>
        </w:rPr>
        <w:t>Feb 17, Sunday</w:t>
        <w:tab/>
        <w:tab/>
        <w:tab/>
        <w:t>Feb 24, Sunday</w:t>
      </w:r>
    </w:p>
    <w:p>
      <w:pPr>
        <w:pStyle w:val="Normal"/>
        <w:rPr>
          <w:rFonts w:ascii="Georgia;Times New Roman" w:hAnsi="Georgia;Times New Roman" w:cs="Georgia;Times New Roman"/>
        </w:rPr>
      </w:pPr>
      <w:r>
        <w:rPr>
          <w:rFonts w:cs="Georgia;Times New Roman" w:ascii="Georgia;Times New Roman" w:hAnsi="Georgia;Times New Roman"/>
        </w:rPr>
        <w:t>Feb 18, Monday</w:t>
        <w:tab/>
        <w:tab/>
        <w:tab/>
        <w:t>Feb 25, Monday</w:t>
      </w:r>
    </w:p>
    <w:p>
      <w:pPr>
        <w:pStyle w:val="Normal"/>
        <w:rPr>
          <w:rFonts w:ascii="Georgia;Times New Roman" w:hAnsi="Georgia;Times New Roman" w:cs="Georgia;Times New Roman"/>
        </w:rPr>
      </w:pPr>
      <w:r>
        <w:rPr>
          <w:rFonts w:cs="Georgia;Times New Roman" w:ascii="Georgia;Times New Roman" w:hAnsi="Georgia;Times New Roman"/>
        </w:rPr>
      </w:r>
    </w:p>
    <w:p>
      <w:pPr>
        <w:pStyle w:val="Normal"/>
        <w:rPr>
          <w:rFonts w:ascii="Georgia;Times New Roman" w:hAnsi="Georgia;Times New Roman" w:cs="Georgia;Times New Roman"/>
        </w:rPr>
      </w:pPr>
      <w:r>
        <w:rPr>
          <w:rFonts w:cs="Georgia;Times New Roman" w:ascii="Georgia;Times New Roman" w:hAnsi="Georgia;Times New Roman"/>
        </w:rPr>
        <w:t>Contact Zelda Paschal, x33189 or zelda.paschal@enron.com</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 w:name="Georgia">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hyperlink" Target="http://www.hlsr.com/index.cfm" TargetMode="External"/><Relationship Id="rId8" Type="http://schemas.openxmlformats.org/officeDocument/2006/relationships/hyperlink" Target="http://www.hlsr.com/"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2001-10-23T16:17:00Z</dcterms:created>
  <dc:creator>zpascha</dc:creator>
  <dc:description/>
  <dc:language>en-CA</dc:language>
  <cp:lastModifiedBy>Enron</cp:lastModifiedBy>
  <cp:lastPrinted>2001-10-23T11:15:00Z</cp:lastPrinted>
  <dcterms:modified xsi:type="dcterms:W3CDTF">2001-10-23T16:17:00Z</dcterms:modified>
  <cp:revision>2</cp:revision>
  <dc:subject/>
  <dc:title>      </dc:title>
</cp:coreProperties>
</file>