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bottom w:val="single" w:sz="18" w:space="1" w:color="000000"/>
        </w:pBdr>
        <w:jc w:val="center"/>
        <w:rPr>
          <w:b/>
          <w:bCs/>
          <w:sz w:val="40"/>
          <w:szCs w:val="40"/>
        </w:rPr>
      </w:pPr>
      <w:r>
        <w:rPr>
          <w:b/>
          <w:bCs/>
          <w:sz w:val="36"/>
          <w:szCs w:val="36"/>
        </w:rPr>
        <w:t>ENRON CORP ENVIRONMENTAL NOTICE</w:t>
      </w:r>
    </w:p>
    <w:p>
      <w:pPr>
        <w:pStyle w:val="Normal"/>
        <w:jc w:val="both"/>
        <w:rPr/>
      </w:pPr>
      <w:r>
        <w:rPr>
          <w:b/>
          <w:bCs/>
          <w:sz w:val="32"/>
          <w:szCs w:val="32"/>
        </w:rPr>
        <w:t xml:space="preserve">Subject:  </w:t>
      </w:r>
      <w:r>
        <w:rPr>
          <w:sz w:val="32"/>
          <w:szCs w:val="32"/>
        </w:rPr>
        <w:t xml:space="preserve">Houston Non-attainment Regulations; The “Cap and Trade” Program </w:t>
      </w:r>
    </w:p>
    <w:p>
      <w:pPr>
        <w:pStyle w:val="Normal"/>
        <w:jc w:val="both"/>
        <w:rPr/>
      </w:pPr>
      <w:r>
        <w:rPr>
          <w:b/>
          <w:bCs/>
          <w:sz w:val="32"/>
          <w:szCs w:val="32"/>
        </w:rPr>
        <w:t xml:space="preserve">Today’s Date: </w:t>
      </w:r>
      <w:r>
        <w:rPr>
          <w:sz w:val="32"/>
          <w:szCs w:val="32"/>
        </w:rPr>
        <w:t>April 30, 2001</w:t>
      </w:r>
    </w:p>
    <w:p>
      <w:pPr>
        <w:pStyle w:val="Normal"/>
        <w:jc w:val="both"/>
        <w:rPr/>
      </w:pPr>
      <w:r>
        <w:rPr>
          <w:b/>
          <w:bCs/>
          <w:sz w:val="32"/>
          <w:szCs w:val="32"/>
        </w:rPr>
        <w:t xml:space="preserve">Reference:  </w:t>
      </w:r>
      <w:r>
        <w:rPr>
          <w:sz w:val="32"/>
          <w:szCs w:val="32"/>
        </w:rPr>
        <w:t>January 12, 2001 Texas Register (26 Tex. Reg. 282-632)</w:t>
      </w:r>
    </w:p>
    <w:p>
      <w:pPr>
        <w:pStyle w:val="Normal"/>
        <w:pBdr>
          <w:bottom w:val="single" w:sz="24" w:space="1" w:color="000000"/>
        </w:pBdr>
        <w:jc w:val="both"/>
        <w:rPr/>
      </w:pPr>
      <w:r>
        <w:rPr>
          <w:b/>
          <w:bCs/>
          <w:sz w:val="32"/>
          <w:szCs w:val="32"/>
        </w:rPr>
        <w:t xml:space="preserve">Status:  </w:t>
      </w:r>
      <w:r>
        <w:rPr>
          <w:sz w:val="32"/>
          <w:szCs w:val="32"/>
        </w:rPr>
        <w:t>Final Regulations</w:t>
        <w:tab/>
        <w:tab/>
      </w:r>
    </w:p>
    <w:p>
      <w:pPr>
        <w:pStyle w:val="Normal"/>
        <w:jc w:val="both"/>
        <w:rPr>
          <w:b/>
          <w:bCs/>
          <w:sz w:val="16"/>
          <w:szCs w:val="16"/>
        </w:rPr>
      </w:pPr>
      <w:r>
        <w:rPr>
          <w:b/>
          <w:bCs/>
          <w:sz w:val="16"/>
          <w:szCs w:val="16"/>
        </w:rPr>
      </w:r>
    </w:p>
    <w:p>
      <w:pPr>
        <w:pStyle w:val="Normal"/>
        <w:spacing w:before="120" w:after="0"/>
        <w:jc w:val="both"/>
        <w:rPr/>
      </w:pPr>
      <w:r>
        <w:rPr>
          <w:b/>
          <w:bCs/>
          <w:sz w:val="24"/>
          <w:szCs w:val="24"/>
          <w:u w:val="single"/>
        </w:rPr>
        <w:t>General:</w:t>
      </w:r>
      <w:r>
        <w:rPr>
          <w:b/>
          <w:bCs/>
          <w:sz w:val="24"/>
          <w:szCs w:val="24"/>
        </w:rPr>
        <w:t xml:space="preserve"> </w:t>
      </w:r>
      <w:r>
        <w:rPr>
          <w:sz w:val="24"/>
          <w:szCs w:val="24"/>
        </w:rPr>
        <w:t xml:space="preserve">For the first time in Texas, the Texas Natural Resource Conservation Commission (TNRCC) is implementing a </w:t>
      </w:r>
      <w:r>
        <w:rPr>
          <w:b/>
          <w:bCs/>
          <w:sz w:val="24"/>
          <w:szCs w:val="24"/>
        </w:rPr>
        <w:t>“cap and trade” program</w:t>
      </w:r>
      <w:r>
        <w:rPr>
          <w:sz w:val="24"/>
          <w:szCs w:val="24"/>
        </w:rPr>
        <w:t xml:space="preserve"> to limit nitrogen oxide (NOx) emissions in the Houston non-attainment area (Brazoria, Chambers, Fort Bend, Galveston, Harris, Liberty, Montgomery, and Waller Counties). The purpose of this program is to reduce NOx emissions. NOx is a precursor to ozone formation, and the goal is to be in compliance with the one-hour ozone standard by 2008. A cap and trade system places a cap on NOx </w:t>
      </w:r>
      <w:r>
        <w:rPr>
          <w:b/>
          <w:bCs/>
          <w:sz w:val="24"/>
          <w:szCs w:val="24"/>
        </w:rPr>
        <w:t>“emission allowances”</w:t>
      </w:r>
      <w:r>
        <w:rPr>
          <w:sz w:val="24"/>
          <w:szCs w:val="24"/>
        </w:rPr>
        <w:t xml:space="preserve"> for a location, and reduces the cap until the desired emission reductions are achieved. It must be determined at the end of each year whether a location is under or over the cap for the previous year. If under for the previous year, emission allowances are available for use in the next year or to sell to another location. If over the cap, emission allowances, or another type of allowance, Discrete Emissions Reduction Credits (DERC), must be purchased. Locations with regulated emission sources that have a “design capacity” to emit </w:t>
      </w:r>
      <w:r>
        <w:rPr>
          <w:b/>
          <w:bCs/>
          <w:sz w:val="24"/>
          <w:szCs w:val="24"/>
        </w:rPr>
        <w:t>10 tons/year of NOx</w:t>
      </w:r>
      <w:r>
        <w:rPr>
          <w:sz w:val="24"/>
          <w:szCs w:val="24"/>
        </w:rPr>
        <w:t xml:space="preserve"> or more are subject to the cap and trade program. Other sources can opt into the program on a voluntary basis.</w:t>
      </w:r>
    </w:p>
    <w:p>
      <w:pPr>
        <w:pStyle w:val="Normal"/>
        <w:spacing w:before="120" w:after="0"/>
        <w:jc w:val="both"/>
        <w:rPr/>
      </w:pPr>
      <w:r>
        <w:rPr>
          <w:sz w:val="24"/>
          <w:szCs w:val="24"/>
        </w:rPr>
        <w:t>In the Houston area, the initial cap is based on the average emissions calculated from fuel use or hours of operation in 1997 through 1999 for specified sizes and types of emission sources such as boilers, heaters, and engines</w:t>
      </w:r>
      <w:r>
        <w:rPr>
          <w:b/>
          <w:bCs/>
          <w:sz w:val="24"/>
          <w:szCs w:val="24"/>
        </w:rPr>
        <w:t>. The first year the cap is in effect is 2002</w:t>
      </w:r>
      <w:r>
        <w:rPr>
          <w:sz w:val="24"/>
          <w:szCs w:val="24"/>
        </w:rPr>
        <w:t>, but there are no reductions required from the 1997-99 levels. However this does mean that if the fuel use/hours of operation increase in 2002 over the 1997-99 average, a location could exceed the cap and must purchase emission allowances.</w:t>
      </w:r>
    </w:p>
    <w:p>
      <w:pPr>
        <w:pStyle w:val="Normal"/>
        <w:spacing w:before="120" w:after="0"/>
        <w:jc w:val="both"/>
        <w:rPr/>
      </w:pPr>
      <w:r>
        <w:rPr>
          <w:b/>
          <w:bCs/>
          <w:sz w:val="24"/>
          <w:szCs w:val="24"/>
        </w:rPr>
        <w:t>The final cap will apply in 2008</w:t>
      </w:r>
      <w:r>
        <w:rPr>
          <w:sz w:val="24"/>
          <w:szCs w:val="24"/>
        </w:rPr>
        <w:t xml:space="preserve"> and later and is based on emission specifications specific to the type and/or size of the emission source. As an example, a lean burn engine’s final cap would be calculated based on 0.5 grams/horsepower-hour times its horsepower times the average hours it ran in 1997-99. The annual cap for non-utilities and utilities are listed in the table below. The reduction percentages in the table are calculated based on the TNRCC regulations and have been verified with TNRCC. </w:t>
      </w:r>
    </w:p>
    <w:p>
      <w:pPr>
        <w:pStyle w:val="Normal"/>
        <w:spacing w:before="120" w:after="0"/>
        <w:jc w:val="both"/>
        <w:rPr>
          <w:sz w:val="24"/>
          <w:szCs w:val="24"/>
        </w:rPr>
      </w:pPr>
      <w:r>
        <w:rPr>
          <w:sz w:val="24"/>
          <w:szCs w:val="24"/>
        </w:rPr>
      </w:r>
    </w:p>
    <w:tbl>
      <w:tblPr>
        <w:tblW w:w="8028" w:type="dxa"/>
        <w:jc w:val="start"/>
        <w:tblInd w:w="0" w:type="dxa"/>
        <w:tblLayout w:type="fixed"/>
        <w:tblCellMar>
          <w:top w:w="0" w:type="dxa"/>
          <w:start w:w="108" w:type="dxa"/>
          <w:bottom w:w="0" w:type="dxa"/>
          <w:end w:w="108" w:type="dxa"/>
        </w:tblCellMar>
      </w:tblPr>
      <w:tblGrid>
        <w:gridCol w:w="1278"/>
        <w:gridCol w:w="3510"/>
        <w:gridCol w:w="3240"/>
      </w:tblGrid>
      <w:tr>
        <w:trPr>
          <w:trHeight w:val="498" w:hRule="atLeast"/>
        </w:trPr>
        <w:tc>
          <w:tcPr>
            <w:tcW w:w="1278" w:type="dxa"/>
            <w:tcBorders>
              <w:top w:val="single" w:sz="6" w:space="0" w:color="000000"/>
              <w:start w:val="single" w:sz="6" w:space="0" w:color="000000"/>
              <w:bottom w:val="single" w:sz="6" w:space="0" w:color="000000"/>
              <w:end w:val="single" w:sz="6" w:space="0" w:color="000000"/>
            </w:tcBorders>
          </w:tcPr>
          <w:p>
            <w:pPr>
              <w:pStyle w:val="Normal"/>
              <w:snapToGrid w:val="false"/>
              <w:spacing w:before="120" w:after="0"/>
              <w:jc w:val="center"/>
              <w:rPr>
                <w:b/>
                <w:bCs/>
                <w:sz w:val="24"/>
                <w:szCs w:val="24"/>
              </w:rPr>
            </w:pPr>
            <w:r>
              <w:rPr>
                <w:b/>
                <w:bCs/>
                <w:sz w:val="24"/>
                <w:szCs w:val="24"/>
              </w:rPr>
            </w:r>
          </w:p>
        </w:tc>
        <w:tc>
          <w:tcPr>
            <w:tcW w:w="6750" w:type="dxa"/>
            <w:gridSpan w:val="2"/>
            <w:tcBorders>
              <w:top w:val="single" w:sz="6" w:space="0" w:color="000000"/>
              <w:start w:val="single" w:sz="6" w:space="0" w:color="000000"/>
              <w:bottom w:val="single" w:sz="6" w:space="0" w:color="000000"/>
              <w:end w:val="single" w:sz="6" w:space="0" w:color="000000"/>
            </w:tcBorders>
          </w:tcPr>
          <w:p>
            <w:pPr>
              <w:pStyle w:val="Normal"/>
              <w:spacing w:before="120" w:after="0"/>
              <w:jc w:val="center"/>
              <w:rPr>
                <w:b/>
                <w:bCs/>
                <w:sz w:val="24"/>
                <w:szCs w:val="24"/>
              </w:rPr>
            </w:pPr>
            <w:r>
              <w:rPr>
                <w:b/>
                <w:bCs/>
                <w:sz w:val="24"/>
                <w:szCs w:val="24"/>
              </w:rPr>
              <w:t>Reductions from 1997-9 towards final 2008 cap</w:t>
            </w:r>
          </w:p>
        </w:tc>
      </w:tr>
      <w:tr>
        <w:trPr/>
        <w:tc>
          <w:tcPr>
            <w:tcW w:w="1278"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b/>
                <w:bCs/>
                <w:sz w:val="24"/>
                <w:szCs w:val="24"/>
              </w:rPr>
            </w:pPr>
            <w:r>
              <w:rPr>
                <w:b/>
                <w:bCs/>
                <w:sz w:val="24"/>
                <w:szCs w:val="24"/>
              </w:rPr>
              <w:t>Year</w:t>
            </w:r>
          </w:p>
        </w:tc>
        <w:tc>
          <w:tcPr>
            <w:tcW w:w="351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b/>
                <w:bCs/>
                <w:sz w:val="24"/>
                <w:szCs w:val="24"/>
              </w:rPr>
            </w:pPr>
            <w:r>
              <w:rPr>
                <w:b/>
                <w:bCs/>
                <w:sz w:val="24"/>
                <w:szCs w:val="24"/>
              </w:rPr>
              <w:t>Non-Utilities</w:t>
            </w:r>
          </w:p>
        </w:tc>
        <w:tc>
          <w:tcPr>
            <w:tcW w:w="324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b/>
                <w:bCs/>
                <w:sz w:val="24"/>
                <w:szCs w:val="24"/>
              </w:rPr>
            </w:pPr>
            <w:r>
              <w:rPr>
                <w:b/>
                <w:bCs/>
                <w:sz w:val="24"/>
                <w:szCs w:val="24"/>
              </w:rPr>
              <w:t>Utilities</w:t>
            </w:r>
          </w:p>
        </w:tc>
      </w:tr>
      <w:tr>
        <w:trPr/>
        <w:tc>
          <w:tcPr>
            <w:tcW w:w="1278"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sz w:val="24"/>
                <w:szCs w:val="24"/>
              </w:rPr>
            </w:pPr>
            <w:r>
              <w:rPr>
                <w:sz w:val="24"/>
                <w:szCs w:val="24"/>
              </w:rPr>
              <w:t>2002</w:t>
            </w:r>
          </w:p>
        </w:tc>
        <w:tc>
          <w:tcPr>
            <w:tcW w:w="351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sz w:val="24"/>
                <w:szCs w:val="24"/>
              </w:rPr>
            </w:pPr>
            <w:r>
              <w:rPr>
                <w:sz w:val="24"/>
                <w:szCs w:val="24"/>
              </w:rPr>
              <w:t>none</w:t>
            </w:r>
          </w:p>
        </w:tc>
        <w:tc>
          <w:tcPr>
            <w:tcW w:w="324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sz w:val="24"/>
                <w:szCs w:val="24"/>
              </w:rPr>
            </w:pPr>
            <w:r>
              <w:rPr>
                <w:sz w:val="24"/>
                <w:szCs w:val="24"/>
              </w:rPr>
              <w:t>none</w:t>
            </w:r>
          </w:p>
        </w:tc>
      </w:tr>
      <w:tr>
        <w:trPr/>
        <w:tc>
          <w:tcPr>
            <w:tcW w:w="1278"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sz w:val="24"/>
                <w:szCs w:val="24"/>
              </w:rPr>
            </w:pPr>
            <w:r>
              <w:rPr>
                <w:sz w:val="24"/>
                <w:szCs w:val="24"/>
              </w:rPr>
              <w:t>2003</w:t>
            </w:r>
          </w:p>
        </w:tc>
        <w:tc>
          <w:tcPr>
            <w:tcW w:w="351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sz w:val="24"/>
                <w:szCs w:val="24"/>
              </w:rPr>
            </w:pPr>
            <w:r>
              <w:rPr>
                <w:sz w:val="24"/>
                <w:szCs w:val="24"/>
              </w:rPr>
              <w:t>none</w:t>
            </w:r>
          </w:p>
        </w:tc>
        <w:tc>
          <w:tcPr>
            <w:tcW w:w="324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sz w:val="24"/>
                <w:szCs w:val="24"/>
              </w:rPr>
            </w:pPr>
            <w:r>
              <w:rPr>
                <w:sz w:val="24"/>
                <w:szCs w:val="24"/>
              </w:rPr>
              <w:t>35.25%</w:t>
            </w:r>
          </w:p>
        </w:tc>
      </w:tr>
      <w:tr>
        <w:trPr/>
        <w:tc>
          <w:tcPr>
            <w:tcW w:w="1278"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sz w:val="24"/>
                <w:szCs w:val="24"/>
              </w:rPr>
            </w:pPr>
            <w:r>
              <w:rPr>
                <w:sz w:val="24"/>
                <w:szCs w:val="24"/>
              </w:rPr>
              <w:t>2004</w:t>
            </w:r>
          </w:p>
        </w:tc>
        <w:tc>
          <w:tcPr>
            <w:tcW w:w="351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sz w:val="24"/>
                <w:szCs w:val="24"/>
              </w:rPr>
            </w:pPr>
            <w:r>
              <w:rPr>
                <w:sz w:val="24"/>
                <w:szCs w:val="24"/>
              </w:rPr>
              <w:t>33%</w:t>
            </w:r>
          </w:p>
        </w:tc>
        <w:tc>
          <w:tcPr>
            <w:tcW w:w="324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sz w:val="24"/>
                <w:szCs w:val="24"/>
              </w:rPr>
            </w:pPr>
            <w:r>
              <w:rPr>
                <w:sz w:val="24"/>
                <w:szCs w:val="24"/>
              </w:rPr>
              <w:t>83%</w:t>
            </w:r>
          </w:p>
        </w:tc>
      </w:tr>
      <w:tr>
        <w:trPr/>
        <w:tc>
          <w:tcPr>
            <w:tcW w:w="1278"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sz w:val="24"/>
                <w:szCs w:val="24"/>
              </w:rPr>
            </w:pPr>
            <w:r>
              <w:rPr>
                <w:sz w:val="24"/>
                <w:szCs w:val="24"/>
              </w:rPr>
              <w:t>2005</w:t>
            </w:r>
          </w:p>
        </w:tc>
        <w:tc>
          <w:tcPr>
            <w:tcW w:w="351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sz w:val="24"/>
                <w:szCs w:val="24"/>
              </w:rPr>
            </w:pPr>
            <w:r>
              <w:rPr>
                <w:sz w:val="24"/>
                <w:szCs w:val="24"/>
              </w:rPr>
              <w:t>77.75%</w:t>
            </w:r>
          </w:p>
        </w:tc>
        <w:tc>
          <w:tcPr>
            <w:tcW w:w="324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sz w:val="24"/>
                <w:szCs w:val="24"/>
              </w:rPr>
            </w:pPr>
            <w:r>
              <w:rPr>
                <w:sz w:val="24"/>
                <w:szCs w:val="24"/>
              </w:rPr>
              <w:t>95%</w:t>
            </w:r>
          </w:p>
        </w:tc>
      </w:tr>
      <w:tr>
        <w:trPr/>
        <w:tc>
          <w:tcPr>
            <w:tcW w:w="1278"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sz w:val="24"/>
                <w:szCs w:val="24"/>
              </w:rPr>
            </w:pPr>
            <w:r>
              <w:rPr>
                <w:sz w:val="24"/>
                <w:szCs w:val="24"/>
              </w:rPr>
              <w:t>2006</w:t>
            </w:r>
          </w:p>
        </w:tc>
        <w:tc>
          <w:tcPr>
            <w:tcW w:w="351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sz w:val="24"/>
                <w:szCs w:val="24"/>
              </w:rPr>
            </w:pPr>
            <w:r>
              <w:rPr>
                <w:sz w:val="24"/>
                <w:szCs w:val="24"/>
              </w:rPr>
              <w:t>89%</w:t>
            </w:r>
          </w:p>
        </w:tc>
        <w:tc>
          <w:tcPr>
            <w:tcW w:w="324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sz w:val="24"/>
                <w:szCs w:val="24"/>
              </w:rPr>
            </w:pPr>
            <w:r>
              <w:rPr>
                <w:sz w:val="24"/>
                <w:szCs w:val="24"/>
              </w:rPr>
              <w:t>95%</w:t>
            </w:r>
          </w:p>
        </w:tc>
      </w:tr>
      <w:tr>
        <w:trPr/>
        <w:tc>
          <w:tcPr>
            <w:tcW w:w="1278"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sz w:val="24"/>
                <w:szCs w:val="24"/>
              </w:rPr>
            </w:pPr>
            <w:r>
              <w:rPr>
                <w:sz w:val="24"/>
                <w:szCs w:val="24"/>
              </w:rPr>
              <w:t>2007</w:t>
            </w:r>
          </w:p>
        </w:tc>
        <w:tc>
          <w:tcPr>
            <w:tcW w:w="351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sz w:val="24"/>
                <w:szCs w:val="24"/>
              </w:rPr>
            </w:pPr>
            <w:r>
              <w:rPr>
                <w:sz w:val="24"/>
                <w:szCs w:val="24"/>
              </w:rPr>
              <w:t>97.25%</w:t>
            </w:r>
          </w:p>
        </w:tc>
        <w:tc>
          <w:tcPr>
            <w:tcW w:w="324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sz w:val="24"/>
                <w:szCs w:val="24"/>
              </w:rPr>
            </w:pPr>
            <w:r>
              <w:rPr>
                <w:sz w:val="24"/>
                <w:szCs w:val="24"/>
              </w:rPr>
              <w:t>98.75%</w:t>
            </w:r>
          </w:p>
        </w:tc>
      </w:tr>
      <w:tr>
        <w:trPr/>
        <w:tc>
          <w:tcPr>
            <w:tcW w:w="1278"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sz w:val="24"/>
                <w:szCs w:val="24"/>
              </w:rPr>
            </w:pPr>
            <w:r>
              <w:rPr>
                <w:sz w:val="24"/>
                <w:szCs w:val="24"/>
              </w:rPr>
              <w:t>2008+</w:t>
            </w:r>
          </w:p>
        </w:tc>
        <w:tc>
          <w:tcPr>
            <w:tcW w:w="351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sz w:val="24"/>
                <w:szCs w:val="24"/>
              </w:rPr>
            </w:pPr>
            <w:r>
              <w:rPr>
                <w:sz w:val="24"/>
                <w:szCs w:val="24"/>
              </w:rPr>
              <w:t>100%</w:t>
            </w:r>
          </w:p>
        </w:tc>
        <w:tc>
          <w:tcPr>
            <w:tcW w:w="3240" w:type="dxa"/>
            <w:tcBorders>
              <w:top w:val="single" w:sz="6" w:space="0" w:color="000000"/>
              <w:start w:val="single" w:sz="6" w:space="0" w:color="000000"/>
              <w:bottom w:val="single" w:sz="6" w:space="0" w:color="000000"/>
              <w:end w:val="single" w:sz="6" w:space="0" w:color="000000"/>
            </w:tcBorders>
          </w:tcPr>
          <w:p>
            <w:pPr>
              <w:pStyle w:val="Normal"/>
              <w:spacing w:before="120" w:after="0"/>
              <w:jc w:val="center"/>
              <w:rPr>
                <w:sz w:val="24"/>
                <w:szCs w:val="24"/>
              </w:rPr>
            </w:pPr>
            <w:r>
              <w:rPr>
                <w:sz w:val="24"/>
                <w:szCs w:val="24"/>
              </w:rPr>
              <w:t>100%</w:t>
            </w:r>
          </w:p>
        </w:tc>
      </w:tr>
    </w:tbl>
    <w:p>
      <w:pPr>
        <w:pStyle w:val="Normal"/>
        <w:spacing w:before="120" w:after="0"/>
        <w:jc w:val="both"/>
        <w:rPr>
          <w:sz w:val="24"/>
          <w:szCs w:val="24"/>
        </w:rPr>
      </w:pPr>
      <w:r>
        <w:rPr>
          <w:sz w:val="24"/>
          <w:szCs w:val="24"/>
        </w:rPr>
      </w:r>
    </w:p>
    <w:p>
      <w:pPr>
        <w:pStyle w:val="Normal"/>
        <w:spacing w:before="120" w:after="0"/>
        <w:jc w:val="both"/>
        <w:rPr/>
      </w:pPr>
      <w:r>
        <w:rPr>
          <w:sz w:val="24"/>
          <w:szCs w:val="24"/>
        </w:rPr>
        <w:t xml:space="preserve">Companies subject to the cap and trade program are required to submit form ECT-3 to TNRCC by </w:t>
      </w:r>
      <w:r>
        <w:rPr>
          <w:b/>
          <w:bCs/>
          <w:sz w:val="24"/>
          <w:szCs w:val="24"/>
        </w:rPr>
        <w:t>June 30, 2001</w:t>
      </w:r>
      <w:r>
        <w:rPr>
          <w:sz w:val="24"/>
          <w:szCs w:val="24"/>
        </w:rPr>
        <w:t xml:space="preserve"> with 1997-99 data, to allow the agency to calculate the cap for each location. All allowances that must be purchased to comply with the cap in the prior year must be obtained by </w:t>
      </w:r>
      <w:r>
        <w:rPr>
          <w:b/>
          <w:bCs/>
          <w:sz w:val="24"/>
          <w:szCs w:val="24"/>
        </w:rPr>
        <w:t>February 1, 2003</w:t>
      </w:r>
      <w:r>
        <w:rPr>
          <w:sz w:val="24"/>
          <w:szCs w:val="24"/>
        </w:rPr>
        <w:t xml:space="preserve"> and annually thereafter. On </w:t>
      </w:r>
      <w:r>
        <w:rPr>
          <w:b/>
          <w:bCs/>
          <w:sz w:val="24"/>
          <w:szCs w:val="24"/>
        </w:rPr>
        <w:t>March 31, 2003</w:t>
      </w:r>
      <w:r>
        <w:rPr>
          <w:sz w:val="24"/>
          <w:szCs w:val="24"/>
        </w:rPr>
        <w:t xml:space="preserve"> and annually thereafter, companies are required to submit a compliance report on form ECT-1. Within 60 days after installing controls or no later than </w:t>
      </w:r>
      <w:r>
        <w:rPr>
          <w:b/>
          <w:bCs/>
          <w:sz w:val="24"/>
          <w:szCs w:val="24"/>
        </w:rPr>
        <w:t>March 31, 2005</w:t>
      </w:r>
      <w:r>
        <w:rPr>
          <w:sz w:val="24"/>
          <w:szCs w:val="24"/>
        </w:rPr>
        <w:t xml:space="preserve">, companies are required to install monitors and metering. Within 60 days after installing controls or no later than </w:t>
      </w:r>
      <w:r>
        <w:rPr>
          <w:b/>
          <w:bCs/>
          <w:sz w:val="24"/>
          <w:szCs w:val="24"/>
        </w:rPr>
        <w:t xml:space="preserve">March 31, 2007 </w:t>
      </w:r>
      <w:r>
        <w:rPr>
          <w:sz w:val="24"/>
          <w:szCs w:val="24"/>
        </w:rPr>
        <w:t>for the chemical plants and</w:t>
      </w:r>
      <w:r>
        <w:rPr>
          <w:b/>
          <w:bCs/>
          <w:sz w:val="24"/>
          <w:szCs w:val="24"/>
        </w:rPr>
        <w:t xml:space="preserve"> March 31, 2005 </w:t>
      </w:r>
      <w:r>
        <w:rPr>
          <w:sz w:val="24"/>
          <w:szCs w:val="24"/>
        </w:rPr>
        <w:t>for Bammel, companies must submit the results of compliance stack testing, and performance evaluation and quality assurance for Continuous Emissions Monitoring Systems (CEMS).</w:t>
      </w:r>
    </w:p>
    <w:p>
      <w:pPr>
        <w:pStyle w:val="Heading2"/>
        <w:ind w:hanging="0" w:start="0"/>
        <w:rPr/>
      </w:pPr>
      <w:r>
        <w:rPr/>
        <w:t>Methanol Plant-Pasadena:</w:t>
      </w:r>
      <w:r>
        <w:rPr>
          <w:b w:val="false"/>
          <w:bCs w:val="false"/>
          <w:u w:val="none"/>
        </w:rPr>
        <w:t xml:space="preserve"> The sources subject to emission specifications are the </w:t>
      </w:r>
      <w:r>
        <w:rPr>
          <w:u w:val="none"/>
        </w:rPr>
        <w:t>reformer</w:t>
      </w:r>
      <w:r>
        <w:rPr>
          <w:b w:val="false"/>
          <w:bCs w:val="false"/>
          <w:u w:val="none"/>
        </w:rPr>
        <w:t xml:space="preserve"> (0.01 pounds of NOx/MMBTU) and </w:t>
      </w:r>
      <w:r>
        <w:rPr>
          <w:u w:val="none"/>
        </w:rPr>
        <w:t>three lean burn engines</w:t>
      </w:r>
      <w:r>
        <w:rPr>
          <w:b w:val="false"/>
          <w:bCs w:val="false"/>
          <w:u w:val="none"/>
        </w:rPr>
        <w:t xml:space="preserve"> (0.5 grams/hp-hour). Unless Selective Catalytic Reduction (SCR) is installed, the monitoring requirements for the engines are stack testing biennially or every 15,000 hours, and quarterly testing with portable analyzers or stain tubes. The air compressor engine is exempt as long it is used only to start other engines. Flares are also exempt. Sources subject to NOx limits are subject to a 400 ppm Carbon Monoxide (CO) limit. As an alternative, engines can use 3.0 g/hp-hr CO limit.</w:t>
      </w:r>
    </w:p>
    <w:p>
      <w:pPr>
        <w:pStyle w:val="Heading2"/>
        <w:ind w:hanging="0" w:start="0"/>
        <w:rPr/>
      </w:pPr>
      <w:r>
        <w:rPr/>
        <w:t>MTBE Plant-Morgan’s Point:</w:t>
      </w:r>
      <w:r>
        <w:rPr>
          <w:b w:val="false"/>
          <w:bCs w:val="false"/>
          <w:u w:val="none"/>
        </w:rPr>
        <w:t xml:space="preserve"> The sources subject to emission specifications are the </w:t>
      </w:r>
      <w:r>
        <w:rPr>
          <w:u w:val="none"/>
        </w:rPr>
        <w:t>oleflex heater</w:t>
      </w:r>
      <w:r>
        <w:rPr>
          <w:b w:val="false"/>
          <w:bCs w:val="false"/>
          <w:u w:val="none"/>
        </w:rPr>
        <w:t xml:space="preserve"> and </w:t>
      </w:r>
      <w:r>
        <w:rPr>
          <w:u w:val="none"/>
        </w:rPr>
        <w:t>two boilers</w:t>
      </w:r>
      <w:r>
        <w:rPr>
          <w:b w:val="false"/>
          <w:bCs w:val="false"/>
          <w:u w:val="none"/>
        </w:rPr>
        <w:t xml:space="preserve"> (0.01 pounds of NOx/MMBTU), </w:t>
      </w:r>
      <w:r>
        <w:rPr>
          <w:u w:val="none"/>
        </w:rPr>
        <w:t>three process heaters</w:t>
      </w:r>
      <w:r>
        <w:rPr>
          <w:b w:val="false"/>
          <w:bCs w:val="false"/>
          <w:u w:val="none"/>
        </w:rPr>
        <w:t xml:space="preserve"> (0.015 pounds/MMBTU), and the </w:t>
      </w:r>
      <w:r>
        <w:rPr>
          <w:u w:val="none"/>
        </w:rPr>
        <w:t>direct-fired heater</w:t>
      </w:r>
      <w:r>
        <w:rPr>
          <w:b w:val="false"/>
          <w:bCs w:val="false"/>
          <w:u w:val="none"/>
        </w:rPr>
        <w:t xml:space="preserve"> (0.036 pounds/MMBTU). The installation of a NOx and CO CEMS on the two boilers is required, in addition to the equipment already at the plant due to the previous non-attainment regulations. However, alternative monitoring is allowed for CO. Sources subject to NOx limits are subject to a 400 ppm CO limit. A totalizing fuel flow meter must be installed on the direct-fired heater. Flares, the fire water engine and diesel generator are exempt. TNRCC is planning rulemaking this year that will apply to diesel engines so this exemption may be removed later.</w:t>
      </w:r>
    </w:p>
    <w:p>
      <w:pPr>
        <w:pStyle w:val="Heading2"/>
        <w:ind w:hanging="0" w:start="0"/>
        <w:rPr/>
      </w:pPr>
      <w:r>
        <w:rPr/>
        <w:t>Bammel Underground Gas Storage-Houston:</w:t>
      </w:r>
      <w:r>
        <w:rPr>
          <w:b w:val="false"/>
          <w:bCs w:val="false"/>
          <w:u w:val="none"/>
        </w:rPr>
        <w:t xml:space="preserve"> This location is not a Major Source for NOx. Based on conversations with TNRCC, the engines that were deactivated should be included in determining that this facility has regulated equipment that have a design capacity exceeding the 10 ton/year threshold and are thus subject to the cap and trade program.  The sources subject to the emission specifications are the </w:t>
      </w:r>
      <w:r>
        <w:rPr>
          <w:u w:val="none"/>
        </w:rPr>
        <w:t>dehydrator boilers/heaters</w:t>
      </w:r>
      <w:r>
        <w:rPr>
          <w:b w:val="false"/>
          <w:bCs w:val="false"/>
          <w:u w:val="none"/>
        </w:rPr>
        <w:t>, units S1-S4, (0.036 pounds/MMBTU) because they have a design capacity that exceeds 2 MMBTU/hour. The installation of totalizing fuel flow meters is required on these boiler/heaters. For cap purposes, the emission specification for lean-burn engines is 0.5 grams/hp-hour. Flares, but not incinerators, and emergency generators that operate less than 100 hours/year are exempt from the specifications. There are record keeping requirements for exempt gas-fired generators.</w:t>
      </w:r>
    </w:p>
    <w:p>
      <w:pPr>
        <w:pStyle w:val="Heading2"/>
        <w:ind w:hanging="0" w:start="0"/>
        <w:rPr/>
      </w:pPr>
      <w:r>
        <w:rPr/>
        <w:t>Enron Office Building:</w:t>
      </w:r>
      <w:r>
        <w:rPr>
          <w:b w:val="false"/>
          <w:bCs w:val="false"/>
          <w:u w:val="none"/>
        </w:rPr>
        <w:t xml:space="preserve"> The diesel generators are exempt from these regulations. However, TNRCC is planning rulemaking this year that will apply to diesel engines so this exemption may be removed later.</w:t>
      </w:r>
    </w:p>
    <w:p>
      <w:pPr>
        <w:pStyle w:val="Normal"/>
        <w:spacing w:before="120" w:after="0"/>
        <w:rPr/>
      </w:pPr>
      <w:r>
        <w:rPr>
          <w:b/>
          <w:bCs/>
          <w:sz w:val="24"/>
          <w:szCs w:val="24"/>
          <w:u w:val="single"/>
        </w:rPr>
        <w:t>Recommended Actions</w:t>
      </w:r>
      <w:r>
        <w:rPr>
          <w:b/>
          <w:bCs/>
          <w:sz w:val="24"/>
          <w:szCs w:val="24"/>
        </w:rPr>
        <w:t xml:space="preserve">: </w:t>
      </w:r>
      <w:r>
        <w:rPr>
          <w:sz w:val="24"/>
          <w:szCs w:val="24"/>
        </w:rPr>
        <w:t>Personnel should continue their evaluation of control technology and emission allowances that can be used to comply with this regulation. Personnel should be aware of the deadlines for submitting forms, installing monitoring equipment, and reducing emissions. Go to:</w:t>
      </w:r>
    </w:p>
    <w:p>
      <w:pPr>
        <w:pStyle w:val="Normal"/>
        <w:spacing w:before="120" w:after="0"/>
        <w:jc w:val="center"/>
        <w:rPr>
          <w:sz w:val="24"/>
          <w:szCs w:val="24"/>
        </w:rPr>
      </w:pPr>
      <w:r>
        <w:rPr>
          <w:sz w:val="24"/>
          <w:szCs w:val="24"/>
        </w:rPr>
        <w:t>http://ehs.corp.enron.com/Documents/EnvResources/Environmental_Notices.htm</w:t>
      </w:r>
    </w:p>
    <w:p>
      <w:pPr>
        <w:pStyle w:val="Normal"/>
        <w:spacing w:before="120" w:after="0"/>
        <w:rPr>
          <w:sz w:val="24"/>
          <w:szCs w:val="24"/>
        </w:rPr>
      </w:pPr>
      <w:r>
        <w:rPr>
          <w:sz w:val="24"/>
          <w:szCs w:val="24"/>
        </w:rPr>
        <w:t>for electronic versions of all environmental notices. If there are any questions concerning this regulation, contact Marc Phillips at (713) 646-7646.</w:t>
      </w:r>
    </w:p>
    <w:p>
      <w:pPr>
        <w:pStyle w:val="Normal"/>
        <w:ind w:hanging="90" w:start="90" w:end="0"/>
        <w:jc w:val="both"/>
        <w:rPr>
          <w:sz w:val="24"/>
          <w:szCs w:val="24"/>
          <w:u w:val="single"/>
        </w:rPr>
      </w:pPr>
      <w:r>
        <w:rPr>
          <w:sz w:val="24"/>
          <w:szCs w:val="24"/>
          <w:u w:val="single"/>
        </w:rPr>
      </w:r>
    </w:p>
    <w:p>
      <w:pPr>
        <w:pStyle w:val="Normal"/>
        <w:ind w:start="90" w:end="0"/>
        <w:jc w:val="both"/>
        <w:rPr/>
      </w:pPr>
      <w:r>
        <w:rPr>
          <w:sz w:val="24"/>
          <w:szCs w:val="24"/>
          <w:u w:val="single"/>
        </w:rPr>
        <w:t>Distribution:</w:t>
      </w:r>
      <w:r>
        <w:rPr>
          <w:sz w:val="24"/>
          <w:szCs w:val="24"/>
        </w:rPr>
        <w:t xml:space="preserve"> John Shafer, Bill Kendrick, Ruth Jensen, Kyle Purvis, Henry Van, Gus Eghneim, Dave Nutt, Lou Soldano, Mary Schoen, Stacey Bolton, Jeff Keeler, Janel Guerrero, John Massey, Adam Siegel, Mike Terraso, Scott Watson, Susan Worthen, Gavin Dillingham, Rob Bradley, David Bush, Dave Johnson (Clean Fuels), Marilyn June, Cheryl Dawson, John Gordon, Jean Mrha, Bill Donovan</w:t>
      </w:r>
    </w:p>
    <w:sectPr>
      <w:type w:val="nextPage"/>
      <w:pgSz w:w="12240" w:h="15840"/>
      <w:pgMar w:left="1008" w:right="1008" w:gutter="0" w:header="0" w:top="108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spacing w:before="120" w:after="0"/>
      <w:jc w:val="both"/>
      <w:outlineLvl w:val="1"/>
    </w:pPr>
    <w:rPr>
      <w:b/>
      <w:bCs/>
      <w:sz w:val="24"/>
      <w:szCs w:val="24"/>
      <w:u w:val="single"/>
    </w:rPr>
  </w:style>
  <w:style w:type="paragraph" w:styleId="Heading3">
    <w:name w:val="heading 3"/>
    <w:basedOn w:val="Normal"/>
    <w:next w:val="Normal"/>
    <w:qFormat/>
    <w:pPr>
      <w:keepNext w:val="true"/>
      <w:numPr>
        <w:ilvl w:val="2"/>
        <w:numId w:val="1"/>
      </w:numPr>
      <w:spacing w:before="120" w:after="0"/>
      <w:outlineLvl w:val="2"/>
    </w:pPr>
    <w:rPr>
      <w:sz w:val="24"/>
      <w:szCs w:val="24"/>
    </w:rPr>
  </w:style>
  <w:style w:type="paragraph" w:styleId="Heading4">
    <w:name w:val="heading 4"/>
    <w:basedOn w:val="Normal"/>
    <w:next w:val="Normal"/>
    <w:qFormat/>
    <w:pPr>
      <w:keepNext w:val="true"/>
      <w:numPr>
        <w:ilvl w:val="3"/>
        <w:numId w:val="1"/>
      </w:numPr>
      <w:outlineLvl w:val="3"/>
    </w:pPr>
    <w:rPr>
      <w:b/>
      <w:bCs/>
      <w:sz w:val="24"/>
      <w:szCs w:val="24"/>
      <w:u w:val="single"/>
    </w:rPr>
  </w:style>
  <w:style w:type="character" w:styleId="DefaultParagraphFont">
    <w:name w:val="Default Paragraph Font"/>
    <w:qFormat/>
    <w:rPr/>
  </w:style>
  <w:style w:type="character" w:styleId="Hyperlink">
    <w:name w:val="Hyperlink"/>
    <w:basedOn w:val="DefaultParagraphFont"/>
    <w:qFormat/>
    <w:rPr>
      <w:color w:val="0000FF"/>
      <w:u w:val="single"/>
    </w:rPr>
  </w:style>
  <w:style w:type="character" w:styleId="FollowedHyperlink">
    <w:name w:val="FollowedHyperlink"/>
    <w:basedOn w:val="DefaultParagraphFont"/>
    <w:qForma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120" w:after="0"/>
      <w:jc w:val="both"/>
    </w:pPr>
    <w:rPr>
      <w:sz w:val="24"/>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2001-04-03T13:32:00Z</dcterms:created>
  <dc:creator>OTS</dc:creator>
  <dc:description/>
  <dc:language>en-CA</dc:language>
  <cp:lastModifiedBy>mphilli</cp:lastModifiedBy>
  <cp:lastPrinted>2001-04-30T08:07:00Z</cp:lastPrinted>
  <dcterms:modified xsi:type="dcterms:W3CDTF">2001-04-30T10:56:00Z</dcterms:modified>
  <cp:revision>23</cp:revision>
  <dc:subject/>
  <dc:title>ENRON OPERATIONS CORP.</dc:title>
</cp:coreProperties>
</file>