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May 2, 2001</w:t>
      </w:r>
    </w:p>
    <w:p>
      <w:pPr>
        <w:pStyle w:val="Normal"/>
        <w:pBdr>
          <w:top w:val="single" w:sz="12" w:space="1" w:color="000000"/>
        </w:pBdr>
        <w:tabs>
          <w:tab w:val="clear" w:pos="720"/>
          <w:tab w:val="left" w:pos="1530" w:leader="none"/>
          <w:tab w:val="right" w:pos="9000" w:leader="none"/>
        </w:tabs>
        <w:spacing w:before="120" w:after="0"/>
        <w:ind w:end="-90"/>
        <w:rPr/>
      </w:pPr>
      <w:r>
        <w:rPr/>
        <w:tab/>
        <w:t>Lance Schuler</w:t>
        <w:tab/>
        <w:br/>
        <w:tab/>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rPr>
        <w:t>SUBJECT:</w:t>
      </w:r>
      <w:r>
        <w:rPr/>
        <w:tab/>
        <w:t>WFG Financial Group Partners, LP (the “Partnership”)</w:t>
      </w:r>
    </w:p>
    <w:p>
      <w:pPr>
        <w:pStyle w:val="Normal"/>
        <w:pBdr>
          <w:bottom w:val="single" w:sz="12" w:space="1" w:color="000000"/>
        </w:pBdr>
        <w:tabs>
          <w:tab w:val="left" w:pos="720" w:leader="none"/>
          <w:tab w:val="left" w:pos="1530" w:leader="none"/>
          <w:tab w:val="left" w:pos="2160" w:leader="none"/>
          <w:tab w:val="left" w:pos="5040" w:leader="none"/>
          <w:tab w:val="left" w:pos="6480" w:leader="none"/>
        </w:tabs>
        <w:spacing w:before="120" w:after="0"/>
        <w:ind w:hanging="1530" w:start="1530" w:end="0"/>
        <w:rPr/>
      </w:pPr>
      <w:r>
        <w:rPr>
          <w:b/>
        </w:rPr>
        <w:t>RISK FACTOR:</w:t>
        <w:tab/>
      </w:r>
      <w:r>
        <w:rPr>
          <w:bCs/>
        </w:rPr>
        <w:t>4</w:t>
      </w:r>
    </w:p>
    <w:p>
      <w:pPr>
        <w:pStyle w:val="Header"/>
        <w:tabs>
          <w:tab w:val="clear" w:pos="4320"/>
          <w:tab w:val="clear" w:pos="8640"/>
        </w:tabs>
        <w:rPr/>
      </w:pPr>
      <w:r>
        <w:rPr/>
      </w:r>
    </w:p>
    <w:p>
      <w:pPr>
        <w:pStyle w:val="BodyText2"/>
        <w:spacing w:before="240" w:after="0"/>
        <w:rPr/>
      </w:pPr>
      <w:r>
        <w:rPr/>
        <w:tab/>
        <w:t>Houston Economic Opportunity Fund II, L.P. (“HEOF”) previously invested $150,000 in the Partnership and is obligated to contribute up to $1,100,000 (it is anticipated that this will be increased to $1,134,000).  The Partnership is currently seeking financing in connection with its acquisition of certain cemeteries.  The Chase Manhattan Bank (“Chase”) is willing to provide financing, provided that HEOF and the other partners pledge their respective interests in the Partnership as security.  Pursuant to the pledge agreement, HEOF covenants not to transfer or pledge its interest in the Partnership and to take or not take various actions in order to insure the existence and priority of Chase’s lien.  In the event that HEOF violates any of such covenants, or the Partnership defaults under any of the loan documents with Chase, Chase may foreclose its lien and obtain ownership of HEOF’s (and the other partners’) limited partnership interest in the Partnership.  This risk is somewhat mitigated by HEOF’s right to receive notice of, and to cure, Partnership defaults.  All cures must be effected within the grace period allowed the Partnership.</w:t>
      </w:r>
    </w:p>
    <w:p>
      <w:pPr>
        <w:pStyle w:val="BodyText2"/>
        <w:spacing w:before="240" w:after="0"/>
        <w:rPr/>
      </w:pPr>
      <w:r>
        <w:rPr/>
      </w:r>
    </w:p>
    <w:p>
      <w:pPr>
        <w:pStyle w:val="BodyText2"/>
        <w:spacing w:before="240" w:after="0"/>
        <w:rPr/>
      </w:pPr>
      <w:r>
        <w:rPr/>
      </w:r>
    </w:p>
    <w:p>
      <w:pPr>
        <w:pStyle w:val="BodyText2"/>
        <w:spacing w:before="240" w:after="0"/>
        <w:rPr/>
      </w:pPr>
      <w:r>
        <w:rPr/>
      </w:r>
    </w:p>
    <w:p>
      <w:pPr>
        <w:pStyle w:val="BodyText2"/>
        <w:spacing w:before="240" w:after="0"/>
        <w:rPr/>
      </w:pPr>
      <w:r>
        <w:rPr/>
      </w:r>
    </w:p>
    <w:p>
      <w:pPr>
        <w:pStyle w:val="BodyText2"/>
        <w:spacing w:before="240" w:after="0"/>
        <w:rPr/>
      </w:pPr>
      <w:r>
        <w:rPr/>
      </w:r>
    </w:p>
    <w:p>
      <w:pPr>
        <w:pStyle w:val="BodyText2"/>
        <w:rPr/>
      </w:pPr>
      <w:r>
        <w:rPr/>
        <w:t>cc:</w:t>
        <w:tab/>
        <w:t>Gene E. Humphrey</w:t>
      </w:r>
    </w:p>
    <w:p>
      <w:pPr>
        <w:pStyle w:val="BodyText2"/>
        <w:ind w:firstLine="720" w:end="0"/>
        <w:rPr/>
      </w:pPr>
      <w:r>
        <w:rPr/>
        <w:t>Barbara Paige</w:t>
      </w:r>
    </w:p>
    <w:p>
      <w:pPr>
        <w:pStyle w:val="BodyText2"/>
        <w:rPr/>
      </w:pPr>
      <w:r>
        <w:rPr/>
        <w:tab/>
        <w:t>Marc Poulson</w:t>
      </w:r>
    </w:p>
    <w:p>
      <w:pPr>
        <w:pStyle w:val="BodyText2"/>
        <w:rPr/>
      </w:pPr>
      <w:r>
        <w:rPr/>
        <w:tab/>
      </w:r>
    </w:p>
    <w:sectPr>
      <w:headerReference w:type="default" r:id="rId3"/>
      <w:headerReference w:type="first" r:id="rId4"/>
      <w:footerReference w:type="default" r:id="rId5"/>
      <w:footerReference w:type="first" r:id="rId6"/>
      <w:type w:val="nextPage"/>
      <w:pgSz w:w="12240" w:h="15840"/>
      <w:pgMar w:left="1440" w:right="1440" w:gutter="0" w:header="576" w:top="1440" w:footer="432"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/mnt/main-storage/datasets/enron-docs/doc/Houston_Economic_Opportunity_FundII3b.doc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/mnt/main-storage/datasets/enron-docs/doc/Houston_Economic_Opportunity_FundII3b.doc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8923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189230" cy="20955"/>
                      </a:xfrm>
                      <a:prstGeom prst="rect"/>
                      <a:solidFill>
                        <a:srgbClr val="FFFFFF">
                          <a:alpha val="0"/>
                        </a:srgbClr>
                      </a:solidFill>
                    </wps:spPr>
                    <wps:txbx>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4.9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2">
    <w:name w:val="Body Text 2"/>
    <w:basedOn w:val="Normal"/>
    <w:qFormat/>
    <w:pPr>
      <w:jc w:val="both"/>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2001-05-02T09:15:00Z</dcterms:created>
  <dc:creator>ECT</dc:creator>
  <dc:description/>
  <dc:language>en-CA</dc:language>
  <cp:lastModifiedBy>adavis4</cp:lastModifiedBy>
  <cp:lastPrinted>2001-05-02T07:02:00Z</cp:lastPrinted>
  <dcterms:modified xsi:type="dcterms:W3CDTF">2001-05-02T11:50:00Z</dcterms:modified>
  <cp:revision>7</cp:revision>
  <dc:subject/>
  <dc:title> 	</dc:title>
</cp:coreProperties>
</file>