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Energy  Bar  Association – houston chapter</w:t>
      </w:r>
    </w:p>
    <w:p>
      <w:pPr>
        <w:pStyle w:val="Heading2"/>
        <w:ind w:hanging="0" w:start="0"/>
        <w:rPr>
          <w:sz w:val="18"/>
        </w:rPr>
      </w:pPr>
      <w:r>
        <w:rPr>
          <w:sz w:val="18"/>
        </w:rPr>
      </w:r>
    </w:p>
    <w:p>
      <w:pPr>
        <w:pStyle w:val="Heading2"/>
        <w:ind w:hanging="0" w:start="0"/>
        <w:rPr>
          <w:sz w:val="18"/>
        </w:rPr>
      </w:pPr>
      <w:r>
        <w:rPr>
          <w:sz w:val="18"/>
        </w:rPr>
        <w:t>Reservation Form for Luncheon Meeting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rFonts w:ascii="Bookman Old Style" w:hAnsi="Bookman Old Style" w:cs="Bookman Old Style"/>
          <w:b/>
          <w:caps/>
          <w:sz w:val="36"/>
        </w:rPr>
      </w:pPr>
      <w:r>
        <w:rPr>
          <w:rFonts w:cs="Bookman Old Style" w:ascii="Bookman Old Style" w:hAnsi="Bookman Old Style"/>
          <w:b/>
          <w:caps/>
          <w:sz w:val="36"/>
        </w:rPr>
        <w:t>Perspectives on the california energy crisis</w:t>
      </w:r>
    </w:p>
    <w:p>
      <w:pPr>
        <w:pStyle w:val="Heading1"/>
        <w:ind w:hanging="0" w:start="0"/>
        <w:rPr>
          <w:b w:val="false"/>
          <w:i/>
          <w:i/>
          <w:sz w:val="16"/>
        </w:rPr>
      </w:pPr>
      <w:r>
        <w:rPr>
          <w:b w:val="false"/>
          <w:i/>
          <w:sz w:val="16"/>
        </w:rPr>
        <w:t>Presented by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jc w:val="center"/>
        <w:rPr>
          <w:sz w:val="40"/>
        </w:rPr>
      </w:pPr>
      <w:r>
        <w:rPr>
          <w:b/>
          <w:sz w:val="40"/>
        </w:rPr>
        <w:t>Brent C</w:t>
      </w:r>
      <w:r>
        <w:rPr>
          <w:sz w:val="40"/>
        </w:rPr>
        <w:t xml:space="preserve">. </w:t>
      </w:r>
      <w:r>
        <w:rPr>
          <w:b/>
          <w:sz w:val="40"/>
        </w:rPr>
        <w:t>Bailey</w:t>
      </w:r>
    </w:p>
    <w:p>
      <w:pPr>
        <w:pStyle w:val="Normal"/>
        <w:jc w:val="center"/>
        <w:rPr/>
      </w:pPr>
      <w:r>
        <w:rPr>
          <w:rFonts w:cs="Palatia" w:ascii="Palatia" w:hAnsi="Palatia"/>
          <w:b/>
          <w:sz w:val="22"/>
        </w:rPr>
        <w:t>General</w:t>
      </w:r>
      <w:r>
        <w:rPr>
          <w:sz w:val="22"/>
        </w:rPr>
        <w:t xml:space="preserve"> </w:t>
      </w:r>
      <w:r>
        <w:rPr>
          <w:rFonts w:cs="Palatia" w:ascii="Palatia" w:hAnsi="Palatia"/>
          <w:b/>
          <w:sz w:val="22"/>
        </w:rPr>
        <w:t>Counsel</w:t>
      </w:r>
      <w:r>
        <w:rPr>
          <w:sz w:val="22"/>
        </w:rPr>
        <w:t xml:space="preserve">, </w:t>
      </w:r>
      <w:r>
        <w:rPr>
          <w:rFonts w:cs="Palatia" w:ascii="Palatia" w:hAnsi="Palatia"/>
          <w:b/>
          <w:sz w:val="22"/>
        </w:rPr>
        <w:t>Duke</w:t>
      </w:r>
      <w:r>
        <w:rPr>
          <w:sz w:val="22"/>
        </w:rPr>
        <w:t xml:space="preserve"> </w:t>
      </w:r>
      <w:r>
        <w:rPr>
          <w:rFonts w:cs="Palatia" w:ascii="Palatia" w:hAnsi="Palatia"/>
          <w:b/>
          <w:sz w:val="22"/>
        </w:rPr>
        <w:t>Energy</w:t>
      </w:r>
      <w:r>
        <w:rPr>
          <w:sz w:val="22"/>
        </w:rPr>
        <w:t xml:space="preserve"> </w:t>
      </w:r>
      <w:r>
        <w:rPr>
          <w:rFonts w:cs="Palatia" w:ascii="Palatia" w:hAnsi="Palatia"/>
          <w:b/>
          <w:sz w:val="22"/>
        </w:rPr>
        <w:t>North</w:t>
      </w:r>
      <w:r>
        <w:rPr>
          <w:sz w:val="22"/>
        </w:rPr>
        <w:t xml:space="preserve"> </w:t>
      </w:r>
      <w:r>
        <w:rPr>
          <w:rFonts w:cs="Palatia" w:ascii="Palatia" w:hAnsi="Palatia"/>
          <w:b/>
          <w:sz w:val="22"/>
        </w:rPr>
        <w:t>America</w:t>
      </w:r>
    </w:p>
    <w:p>
      <w:pPr>
        <w:pStyle w:val="Normal"/>
        <w:jc w:val="center"/>
        <w:rPr>
          <w:rFonts w:ascii="Palatia" w:hAnsi="Palatia" w:cs="Palatia"/>
          <w:b/>
          <w:sz w:val="20"/>
        </w:rPr>
      </w:pPr>
      <w:r>
        <w:rPr>
          <w:rFonts w:cs="Palatia" w:ascii="Palatia" w:hAnsi="Palatia"/>
          <w:b/>
          <w:sz w:val="20"/>
        </w:rPr>
      </w:r>
    </w:p>
    <w:p>
      <w:pPr>
        <w:pStyle w:val="Heading1"/>
        <w:ind w:hanging="0" w:start="0"/>
        <w:rPr>
          <w:b w:val="false"/>
          <w:i/>
          <w:i/>
          <w:sz w:val="16"/>
        </w:rPr>
      </w:pPr>
      <w:r>
        <w:rPr>
          <w:b w:val="false"/>
          <w:i/>
          <w:sz w:val="16"/>
        </w:rPr>
        <w:t>and</w:t>
      </w:r>
    </w:p>
    <w:p>
      <w:pPr>
        <w:pStyle w:val="Normal"/>
        <w:jc w:val="center"/>
        <w:rPr/>
      </w:pPr>
      <w:r>
        <w:rPr>
          <w:rFonts w:cs="CG Times" w:ascii="CG Times" w:hAnsi="CG Times"/>
          <w:b/>
          <w:sz w:val="40"/>
        </w:rPr>
        <w:t>Jeff</w:t>
      </w:r>
      <w:r>
        <w:rPr>
          <w:rFonts w:cs="CG Times" w:ascii="CG Times" w:hAnsi="CG Times"/>
          <w:sz w:val="40"/>
        </w:rPr>
        <w:t xml:space="preserve"> </w:t>
      </w:r>
      <w:r>
        <w:rPr>
          <w:rFonts w:cs="CG Times" w:ascii="CG Times" w:hAnsi="CG Times"/>
          <w:b/>
          <w:sz w:val="40"/>
        </w:rPr>
        <w:t>Dasovich</w:t>
      </w:r>
    </w:p>
    <w:p>
      <w:pPr>
        <w:pStyle w:val="Normal"/>
        <w:jc w:val="center"/>
        <w:rPr>
          <w:sz w:val="22"/>
        </w:rPr>
      </w:pPr>
      <w:r>
        <w:rPr>
          <w:rFonts w:cs="Palatia" w:ascii="Palatia" w:hAnsi="Palatia"/>
          <w:b/>
          <w:sz w:val="22"/>
        </w:rPr>
        <w:t>Director - Regulatory Affairs, Enron Corp., San Francisco</w:t>
      </w:r>
    </w:p>
    <w:p>
      <w:pPr>
        <w:pStyle w:val="Heading1"/>
        <w:ind w:hanging="0" w:start="0"/>
        <w:rPr>
          <w:rFonts w:ascii="Times New Roman" w:hAnsi="Times New Roman" w:cs="Times New Roman"/>
          <w:sz w:val="18"/>
          <w:u w:val="single"/>
        </w:rPr>
      </w:pPr>
      <w:r>
        <w:rPr>
          <w:rFonts w:cs="Times New Roman" w:ascii="Times New Roman" w:hAnsi="Times New Roman"/>
          <w:sz w:val="18"/>
          <w:u w:val="single"/>
        </w:rPr>
      </w:r>
    </w:p>
    <w:p>
      <w:pPr>
        <w:pStyle w:val="Normal"/>
        <w:rPr>
          <w:rFonts w:ascii="Times New Roman" w:hAnsi="Times New Roman" w:cs="Times New Roman"/>
          <w:sz w:val="18"/>
          <w:u w:val="single"/>
        </w:rPr>
      </w:pPr>
      <w:r>
        <w:rPr>
          <w:rFonts w:cs="Times New Roman"/>
          <w:sz w:val="18"/>
          <w:u w:val="single"/>
        </w:rPr>
      </w:r>
    </w:p>
    <w:p>
      <w:pPr>
        <w:pStyle w:val="Heading1"/>
        <w:ind w:hanging="0" w:start="0"/>
        <w:rPr>
          <w:rFonts w:ascii="Times New Roman" w:hAnsi="Times New Roman" w:cs="Times New Roman"/>
          <w:sz w:val="18"/>
          <w:u w:val="single"/>
        </w:rPr>
      </w:pPr>
      <w:r>
        <w:rPr>
          <w:rFonts w:cs="Times New Roman" w:ascii="Times New Roman" w:hAnsi="Times New Roman"/>
          <w:sz w:val="18"/>
          <w:u w:val="single"/>
        </w:rPr>
      </w:r>
    </w:p>
    <w:p>
      <w:pPr>
        <w:pStyle w:val="Heading1"/>
        <w:ind w:hanging="0" w:start="0"/>
        <w:rPr>
          <w:rFonts w:ascii="Times New Roman" w:hAnsi="Times New Roman" w:cs="Times New Roman"/>
          <w:sz w:val="18"/>
          <w:u w:val="single"/>
        </w:rPr>
      </w:pPr>
      <w:r>
        <w:rPr>
          <w:rFonts w:cs="Times New Roman" w:ascii="Times New Roman" w:hAnsi="Times New Roman"/>
          <w:sz w:val="18"/>
          <w:u w:val="single"/>
        </w:rPr>
        <w:t>Application has been filed for CLE Credit in Texas</w:t>
      </w:r>
    </w:p>
    <w:p>
      <w:pPr>
        <w:pStyle w:val="Normal"/>
        <w:rPr>
          <w:rFonts w:ascii="Arial" w:hAnsi="Arial" w:cs="Arial"/>
          <w:sz w:val="18"/>
          <w:u w:val="single"/>
        </w:rPr>
      </w:pPr>
      <w:r>
        <w:rPr>
          <w:rFonts w:cs="Arial" w:ascii="Arial" w:hAnsi="Arial"/>
          <w:sz w:val="18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Please make reservations for _______ person(s) at the lunch meeting of the Houston Chapter of the Energy Bar Association to be held:</w:t>
      </w:r>
    </w:p>
    <w:p>
      <w:pPr>
        <w:pStyle w:val="Normal"/>
        <w:rPr>
          <w:rFonts w:ascii="Palatia" w:hAnsi="Palatia" w:cs="Palatia"/>
          <w:sz w:val="20"/>
        </w:rPr>
      </w:pPr>
      <w:r>
        <w:rPr>
          <w:rFonts w:cs="Palatia" w:ascii="Palatia" w:hAnsi="Palatia"/>
          <w:sz w:val="20"/>
        </w:rPr>
      </w:r>
    </w:p>
    <w:p>
      <w:pPr>
        <w:pStyle w:val="Heading1"/>
        <w:ind w:hanging="0" w:start="0"/>
        <w:rPr/>
      </w:pPr>
      <w:r>
        <w:rPr/>
        <w:t>Wednesday, February 14, 2001</w:t>
      </w:r>
    </w:p>
    <w:p>
      <w:pPr>
        <w:pStyle w:val="Normal"/>
        <w:ind w:hanging="3510" w:start="3600" w:end="0"/>
        <w:jc w:val="center"/>
        <w:rPr>
          <w:rFonts w:ascii="Palatia" w:hAnsi="Palatia" w:cs="Palatia"/>
          <w:b/>
        </w:rPr>
      </w:pPr>
      <w:r>
        <w:rPr>
          <w:rFonts w:cs="Palatia" w:ascii="Palatia" w:hAnsi="Palatia"/>
          <w:b/>
        </w:rPr>
        <w:t>11:30 a.m. - 1:30 p.m.</w:t>
      </w:r>
    </w:p>
    <w:p>
      <w:pPr>
        <w:pStyle w:val="Normal"/>
        <w:ind w:hanging="3510" w:start="3600" w:end="0"/>
        <w:jc w:val="center"/>
        <w:rPr>
          <w:rFonts w:ascii="Palatia" w:hAnsi="Palatia" w:cs="Palatia"/>
          <w:b/>
        </w:rPr>
      </w:pPr>
      <w:r>
        <w:rPr>
          <w:rFonts w:cs="Palatia" w:ascii="Palatia" w:hAnsi="Palatia"/>
          <w:b/>
        </w:rPr>
        <w:t>Hyatt Regency Hotel, Window Box &amp; Winery</w:t>
      </w:r>
    </w:p>
    <w:p>
      <w:pPr>
        <w:pStyle w:val="Normal"/>
        <w:ind w:hanging="3510" w:start="3600" w:end="0"/>
        <w:jc w:val="center"/>
        <w:rPr>
          <w:rFonts w:ascii="Palatia" w:hAnsi="Palatia" w:cs="Palatia"/>
          <w:b/>
        </w:rPr>
      </w:pPr>
      <w:r>
        <w:rPr>
          <w:rFonts w:cs="Palatia" w:ascii="Palatia" w:hAnsi="Palatia"/>
          <w:b/>
        </w:rPr>
        <w:t>1200 Louisiana Street</w:t>
      </w:r>
    </w:p>
    <w:p>
      <w:pPr>
        <w:pStyle w:val="Normal"/>
        <w:ind w:hanging="3510" w:start="3600" w:end="0"/>
        <w:jc w:val="center"/>
        <w:rPr>
          <w:rFonts w:ascii="Palatia" w:hAnsi="Palatia" w:cs="Palatia"/>
          <w:b/>
        </w:rPr>
      </w:pPr>
      <w:r>
        <w:rPr>
          <w:rFonts w:cs="Palatia" w:ascii="Palatia" w:hAnsi="Palatia"/>
          <w:b/>
        </w:rPr>
        <w:t>Houston, TX  77002</w:t>
      </w:r>
    </w:p>
    <w:p>
      <w:pPr>
        <w:pStyle w:val="Normal"/>
        <w:rPr>
          <w:rFonts w:ascii="Palatia" w:hAnsi="Palatia" w:cs="Palatia"/>
          <w:b/>
          <w:sz w:val="21"/>
        </w:rPr>
      </w:pPr>
      <w:r>
        <w:rPr>
          <w:rFonts w:cs="Palatia" w:ascii="Palatia" w:hAnsi="Palatia"/>
          <w:b/>
          <w:sz w:val="21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630"/>
        <w:gridCol w:w="1080"/>
        <w:gridCol w:w="1170"/>
        <w:gridCol w:w="360"/>
        <w:gridCol w:w="1530"/>
        <w:gridCol w:w="2628"/>
      </w:tblGrid>
      <w:tr>
        <w:trPr/>
        <w:tc>
          <w:tcPr>
            <w:tcW w:w="2178" w:type="dxa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Name:</w:t>
            </w:r>
          </w:p>
        </w:tc>
        <w:tc>
          <w:tcPr>
            <w:tcW w:w="7398" w:type="dxa"/>
            <w:gridSpan w:val="6"/>
            <w:tcBorders/>
          </w:tcPr>
          <w:p>
            <w:pPr>
              <w:pStyle w:val="Normal"/>
              <w:snapToGrid w:val="false"/>
              <w:rPr>
                <w:rFonts w:ascii="Palatia" w:hAnsi="Palatia" w:cs="Palatia"/>
                <w:sz w:val="21"/>
              </w:rPr>
            </w:pPr>
            <w:r>
              <w:rPr>
                <w:rFonts w:cs="Palatia" w:ascii="Palatia" w:hAnsi="Palatia"/>
                <w:sz w:val="21"/>
              </w:rPr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Company:</w:t>
            </w:r>
          </w:p>
        </w:tc>
        <w:tc>
          <w:tcPr>
            <w:tcW w:w="7398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Palatia" w:hAnsi="Palatia" w:cs="Palatia"/>
                <w:sz w:val="21"/>
              </w:rPr>
            </w:pPr>
            <w:r>
              <w:rPr>
                <w:rFonts w:cs="Palatia" w:ascii="Palatia" w:hAnsi="Palatia"/>
                <w:sz w:val="21"/>
              </w:rPr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Address:</w:t>
            </w:r>
          </w:p>
        </w:tc>
        <w:tc>
          <w:tcPr>
            <w:tcW w:w="7398" w:type="dxa"/>
            <w:gridSpan w:val="6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Palatia" w:hAnsi="Palatia" w:cs="Palatia"/>
                <w:sz w:val="21"/>
              </w:rPr>
            </w:pPr>
            <w:r>
              <w:rPr>
                <w:rFonts w:cs="Palatia" w:ascii="Palatia" w:hAnsi="Palatia"/>
                <w:sz w:val="21"/>
              </w:rPr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Phone No.:</w:t>
            </w:r>
          </w:p>
        </w:tc>
        <w:tc>
          <w:tcPr>
            <w:tcW w:w="288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  <w:tc>
          <w:tcPr>
            <w:tcW w:w="18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Fax: No.:</w:t>
            </w:r>
          </w:p>
        </w:tc>
        <w:tc>
          <w:tcPr>
            <w:tcW w:w="262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</w:tr>
      <w:tr>
        <w:trPr/>
        <w:tc>
          <w:tcPr>
            <w:tcW w:w="280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Current EBA Member</w:t>
            </w:r>
            <w:r>
              <w:rPr>
                <w:rFonts w:cs="Arial" w:ascii="Arial" w:hAnsi="Arial"/>
                <w:b/>
              </w:rPr>
              <w:t>*</w:t>
            </w:r>
          </w:p>
        </w:tc>
        <w:tc>
          <w:tcPr>
            <w:tcW w:w="26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_______  (YES)</w:t>
            </w:r>
          </w:p>
        </w:tc>
        <w:tc>
          <w:tcPr>
            <w:tcW w:w="415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_______  (NO)</w:t>
            </w:r>
          </w:p>
        </w:tc>
      </w:tr>
      <w:tr>
        <w:trPr/>
        <w:tc>
          <w:tcPr>
            <w:tcW w:w="2178" w:type="dxa"/>
            <w:tcBorders/>
          </w:tcPr>
          <w:p>
            <w:pPr>
              <w:pStyle w:val="Normal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  <w:t>Guest Name(s):</w:t>
            </w:r>
          </w:p>
        </w:tc>
        <w:tc>
          <w:tcPr>
            <w:tcW w:w="7398" w:type="dxa"/>
            <w:gridSpan w:val="6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</w:tr>
      <w:tr>
        <w:trPr/>
        <w:tc>
          <w:tcPr>
            <w:tcW w:w="388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</w:rPr>
            </w:pPr>
            <w:r>
              <w:rPr>
                <w:rFonts w:cs="Arial" w:ascii="Arial" w:hAnsi="Arial"/>
                <w:sz w:val="21"/>
              </w:rPr>
            </w:r>
          </w:p>
        </w:tc>
        <w:tc>
          <w:tcPr>
            <w:tcW w:w="5688" w:type="dxa"/>
            <w:gridSpan w:val="4"/>
            <w:tcBorders/>
          </w:tcPr>
          <w:p>
            <w:pPr>
              <w:pStyle w:val="Normal"/>
              <w:snapToGrid w:val="false"/>
              <w:rPr>
                <w:rFonts w:ascii="Palatia" w:hAnsi="Palatia" w:cs="Palatia"/>
                <w:sz w:val="21"/>
              </w:rPr>
            </w:pPr>
            <w:r>
              <w:rPr>
                <w:rFonts w:cs="Palatia" w:ascii="Palatia" w:hAnsi="Palatia"/>
                <w:sz w:val="21"/>
              </w:rPr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w:t xml:space="preserve">Reservations and payment must be made in advance and received no later than Wednesday, </w:t>
      </w:r>
    </w:p>
    <w:p>
      <w:pPr>
        <w:pStyle w:val="BodyText"/>
        <w:rPr>
          <w:sz w:val="23"/>
        </w:rPr>
      </w:pPr>
      <w:r>
        <w:rPr>
          <w:sz w:val="23"/>
        </w:rPr>
        <w:t>February 7, 2001.  No refunds unless reservations are canceled on or before February 11, 2001.</w:t>
      </w:r>
    </w:p>
    <w:p>
      <w:pPr>
        <w:pStyle w:val="Normal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Normal"/>
        <w:rPr/>
      </w:pPr>
      <w:r>
        <w:rPr>
          <w:rFonts w:cs="Arial" w:ascii="Arial" w:hAnsi="Arial"/>
          <w:sz w:val="23"/>
        </w:rPr>
        <w:t>The Lunch Meeting is $</w:t>
      </w:r>
      <w:r>
        <w:rPr>
          <w:rFonts w:cs="Arial" w:ascii="Arial" w:hAnsi="Arial"/>
          <w:sz w:val="23"/>
          <w:u w:val="single"/>
        </w:rPr>
        <w:t>25.00</w:t>
      </w:r>
      <w:r>
        <w:rPr>
          <w:rFonts w:cs="Arial" w:ascii="Arial" w:hAnsi="Arial"/>
          <w:sz w:val="23"/>
        </w:rPr>
        <w:t xml:space="preserve"> for Members and $30.00 for Guests.</w:t>
      </w:r>
    </w:p>
    <w:p>
      <w:pPr>
        <w:pStyle w:val="Normal"/>
        <w:rPr/>
      </w:pPr>
      <w:r>
        <w:rPr>
          <w:rFonts w:cs="Arial" w:ascii="Arial" w:hAnsi="Arial"/>
          <w:sz w:val="23"/>
        </w:rPr>
        <w:t xml:space="preserve">Checks should be made </w:t>
      </w:r>
      <w:r>
        <w:rPr>
          <w:rFonts w:cs="Arial" w:ascii="Arial" w:hAnsi="Arial"/>
          <w:b/>
          <w:i/>
          <w:sz w:val="23"/>
          <w:u w:val="single"/>
        </w:rPr>
        <w:t>payable to Energy Bar Association</w:t>
      </w:r>
      <w:r>
        <w:rPr>
          <w:rFonts w:cs="Arial" w:ascii="Arial" w:hAnsi="Arial"/>
          <w:sz w:val="23"/>
        </w:rPr>
        <w:t>.</w:t>
      </w:r>
    </w:p>
    <w:p>
      <w:pPr>
        <w:pStyle w:val="Normal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Phone reservations will not be accepted.  Seating is limited to 60 persons.</w:t>
      </w:r>
    </w:p>
    <w:p>
      <w:pPr>
        <w:pStyle w:val="Normal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Normal"/>
        <w:ind w:firstLine="720" w:start="1440" w:end="0"/>
        <w:rPr/>
      </w:pPr>
      <w:r>
        <w:rPr>
          <w:smallCaps/>
          <w:sz w:val="18"/>
        </w:rPr>
        <w:t>MAIL TO:</w:t>
        <w:tab/>
      </w:r>
      <w:r>
        <w:rPr>
          <w:sz w:val="18"/>
        </w:rPr>
        <w:t>Evelyn Freeman</w:t>
      </w:r>
    </w:p>
    <w:p>
      <w:pPr>
        <w:pStyle w:val="Normal"/>
        <w:ind w:start="3600" w:end="0"/>
        <w:rPr>
          <w:sz w:val="18"/>
        </w:rPr>
      </w:pPr>
      <w:r>
        <w:rPr>
          <w:sz w:val="18"/>
        </w:rPr>
        <w:t>Vinson &amp; Elkins L.L.P.</w:t>
      </w:r>
    </w:p>
    <w:p>
      <w:pPr>
        <w:pStyle w:val="Normal"/>
        <w:ind w:start="3600" w:end="0"/>
        <w:rPr>
          <w:sz w:val="18"/>
        </w:rPr>
      </w:pPr>
      <w:r>
        <w:rPr>
          <w:sz w:val="18"/>
        </w:rPr>
        <w:t>2300 First City Tower</w:t>
      </w:r>
    </w:p>
    <w:p>
      <w:pPr>
        <w:pStyle w:val="Normal"/>
        <w:ind w:start="3600" w:end="0"/>
        <w:rPr>
          <w:sz w:val="18"/>
        </w:rPr>
      </w:pPr>
      <w:r>
        <w:rPr>
          <w:sz w:val="18"/>
        </w:rPr>
        <w:t>1001 Fannin Street</w:t>
      </w:r>
    </w:p>
    <w:p>
      <w:pPr>
        <w:pStyle w:val="Normal"/>
        <w:ind w:start="3600" w:end="0"/>
        <w:rPr>
          <w:smallCaps/>
          <w:sz w:val="18"/>
        </w:rPr>
      </w:pPr>
      <w:r>
        <w:rPr>
          <w:sz w:val="18"/>
        </w:rPr>
        <w:t>Houston, TX  77002-6760</w:t>
      </w:r>
    </w:p>
    <w:p>
      <w:pPr>
        <w:pStyle w:val="Normal"/>
        <w:ind w:start="3600" w:end="0"/>
        <w:rPr>
          <w:rFonts w:ascii="Arial" w:hAnsi="Arial" w:cs="Arial"/>
          <w:smallCaps/>
          <w:sz w:val="23"/>
        </w:rPr>
      </w:pPr>
      <w:r>
        <w:rPr>
          <w:smallCaps/>
          <w:sz w:val="18"/>
        </w:rPr>
        <w:t>(713) 758-2551 / Fax No. (713) 758-2346</w:t>
      </w:r>
      <w:r>
        <w:rPr>
          <w:rStyle w:val="EndnoteReference"/>
          <w:rFonts w:cs="Arial" w:ascii="Arial" w:hAnsi="Arial"/>
          <w:smallCaps/>
        </w:rPr>
        <w:endnoteReference w:id="2"/>
      </w:r>
    </w:p>
    <w:p>
      <w:pPr>
        <w:pStyle w:val="Normal"/>
        <w:ind w:start="3600" w:end="0"/>
        <w:rPr>
          <w:rFonts w:ascii="Arial" w:hAnsi="Arial" w:cs="Arial"/>
          <w:smallCaps/>
          <w:sz w:val="23"/>
        </w:rPr>
      </w:pPr>
      <w:r>
        <w:rPr>
          <w:rFonts w:cs="Arial" w:ascii="Arial" w:hAnsi="Arial"/>
          <w:smallCaps/>
          <w:sz w:val="23"/>
        </w:rPr>
      </w:r>
    </w:p>
    <w:sectPr>
      <w:endnotePr>
        <w:pos w:val="sectEnd"/>
        <w:numFmt w:val="chicago"/>
      </w:endnotePr>
      <w:type w:val="nextPage"/>
      <w:pgSz w:w="12240" w:h="15840"/>
      <w:pgMar w:left="1008" w:right="1008" w:gutter="0" w:header="0" w:top="1008" w:footer="0" w:bottom="1008"/>
      <w:pgBorders w:display="allPages" w:offsetFrom="text">
        <w:top w:val="threeDEmboss" w:sz="24" w:space="20" w:color="000000"/>
        <w:left w:val="threeDEmboss" w:sz="24" w:space="20" w:color="000000"/>
        <w:bottom w:val="threeDEngrave" w:sz="24" w:space="20" w:color="000000"/>
        <w:right w:val="threeDEngrave" w:sz="24" w:space="20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rPr/>
      </w:pPr>
      <w:r>
        <w:rPr>
          <w:rStyle w:val="EndnoteCharacters"/>
        </w:rPr>
        <w:endnoteRef/>
      </w:r>
      <w:r>
        <w:rPr>
          <w:rStyle w:val="EndnoteCharacters"/>
          <w:bCs/>
          <w:sz w:val="18"/>
        </w:rPr>
        <w:t>*</w:t>
      </w:r>
      <w:r>
        <w:rPr>
          <w:bCs/>
          <w:sz w:val="18"/>
        </w:rPr>
        <w:t xml:space="preserve"> EBA membership application forms will be provided at the meeting for those persons who wish to join or renew their EBA membership.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a">
    <w:charset w:val="00" w:characterSet="windows-1252"/>
    <w:family w:val="auto"/>
    <w:pitch w:val="variable"/>
  </w:font>
  <w:font w:name="Bookman Old Style">
    <w:charset w:val="00" w:characterSet="windows-1252"/>
    <w:family w:val="roman"/>
    <w:pitch w:val="variable"/>
  </w:font>
  <w:font w:name="CG Times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endnotePr>
    <w:pos w:val="sectEnd"/>
    <w:numFmt w:val="chicago"/>
    <w:endnote w:id="0"/>
    <w:endnote w:id="1"/>
  </w:endnotePr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Palatia" w:hAnsi="Palatia" w:cs="Palatia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Palatia" w:hAnsi="Palatia" w:cs="Palatia"/>
      <w:b/>
      <w:smallCaps/>
      <w:sz w:val="27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Palatia" w:hAnsi="Palatia" w:cs="Palatia"/>
      <w:smallCaps/>
      <w:sz w:val="28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Palatia" w:hAnsi="Palatia" w:cs="Palatia"/>
      <w:b/>
      <w:caps/>
      <w:sz w:val="29"/>
    </w:rPr>
  </w:style>
  <w:style w:type="paragraph" w:styleId="BodyText">
    <w:name w:val="Body Text"/>
    <w:basedOn w:val="Normal"/>
    <w:pPr>
      <w:jc w:val="start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dnoteText">
    <w:name w:val="end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2001-01-26T17:22:00Z</dcterms:created>
  <dc:creator>Janet Cones</dc:creator>
  <dc:description/>
  <dc:language>en-CA</dc:language>
  <cp:lastModifiedBy>Vinson &amp; Elkins L.L.P.</cp:lastModifiedBy>
  <cp:lastPrinted>2001-01-26T13:50:00Z</cp:lastPrinted>
  <dcterms:modified xsi:type="dcterms:W3CDTF">2001-01-26T17:22:00Z</dcterms:modified>
  <cp:revision>2</cp:revision>
  <dc:subject/>
  <dc:title>Federal Energy Bar Association</dc:title>
</cp:coreProperties>
</file>