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SCHEDULE 3.2</w:t>
      </w:r>
    </w:p>
    <w:p>
      <w:pPr>
        <w:pStyle w:val="Normal"/>
        <w:jc w:val="center"/>
        <w:rPr>
          <w:b/>
        </w:rPr>
      </w:pPr>
      <w:r>
        <w:rPr>
          <w:b/>
        </w:rPr>
        <w:t>CAPITALIZATION</w:t>
      </w:r>
    </w:p>
    <w:p>
      <w:pPr>
        <w:pStyle w:val="Normal"/>
        <w:jc w:val="center"/>
        <w:rPr>
          <w:b/>
        </w:rPr>
      </w:pPr>
      <w:r>
        <w:rPr>
          <w:b/>
        </w:rPr>
      </w:r>
    </w:p>
    <w:p>
      <w:pPr>
        <w:pStyle w:val="Normal"/>
        <w:spacing w:before="0" w:after="240"/>
        <w:jc w:val="center"/>
        <w:rPr>
          <w:b/>
          <w:sz w:val="20"/>
        </w:rPr>
      </w:pPr>
      <w:r>
        <w:rPr>
          <w:b/>
          <w:sz w:val="20"/>
          <w:u w:val="single"/>
        </w:rPr>
        <w:t>INITIAL PERCENTAGE INTERESTS OF THE MEMBERS</w:t>
      </w:r>
    </w:p>
    <w:p>
      <w:pPr>
        <w:pStyle w:val="Normal"/>
        <w:rPr>
          <w:b/>
          <w:sz w:val="20"/>
          <w:u w:val="single"/>
        </w:rPr>
      </w:pPr>
      <w:r>
        <w:rPr>
          <w:b/>
          <w:sz w:val="20"/>
          <w:u w:val="single"/>
        </w:rPr>
      </w:r>
    </w:p>
    <w:tbl>
      <w:tblPr>
        <w:tblW w:w="11718" w:type="dxa"/>
        <w:jc w:val="start"/>
        <w:tblInd w:w="0" w:type="dxa"/>
        <w:tblLayout w:type="fixed"/>
        <w:tblCellMar>
          <w:top w:w="0" w:type="dxa"/>
          <w:start w:w="108" w:type="dxa"/>
          <w:bottom w:w="0" w:type="dxa"/>
          <w:end w:w="108" w:type="dxa"/>
        </w:tblCellMar>
      </w:tblPr>
      <w:tblGrid>
        <w:gridCol w:w="3078"/>
        <w:gridCol w:w="2160"/>
        <w:gridCol w:w="2160"/>
        <w:gridCol w:w="2160"/>
        <w:gridCol w:w="2160"/>
      </w:tblGrid>
      <w:tr>
        <w:trPr/>
        <w:tc>
          <w:tcPr>
            <w:tcW w:w="3078" w:type="dxa"/>
            <w:tcBorders/>
          </w:tcPr>
          <w:p>
            <w:pPr>
              <w:pStyle w:val="Normal"/>
              <w:snapToGrid w:val="false"/>
              <w:rPr>
                <w:b/>
                <w:sz w:val="20"/>
                <w:u w:val="single"/>
              </w:rPr>
            </w:pPr>
            <w:r>
              <w:rPr>
                <w:b/>
                <w:sz w:val="20"/>
                <w:u w:val="single"/>
              </w:rPr>
            </w:r>
          </w:p>
          <w:p>
            <w:pPr>
              <w:pStyle w:val="Normal"/>
              <w:rPr>
                <w:b/>
                <w:sz w:val="20"/>
              </w:rPr>
            </w:pPr>
            <w:r>
              <w:rPr>
                <w:b/>
                <w:sz w:val="20"/>
                <w:u w:val="single"/>
              </w:rPr>
              <w:t>Member</w:t>
            </w:r>
          </w:p>
        </w:tc>
        <w:tc>
          <w:tcPr>
            <w:tcW w:w="2160" w:type="dxa"/>
            <w:tcBorders/>
          </w:tcPr>
          <w:p>
            <w:pPr>
              <w:pStyle w:val="Normal"/>
              <w:rPr>
                <w:b/>
                <w:sz w:val="20"/>
                <w:u w:val="single"/>
              </w:rPr>
            </w:pPr>
            <w:r>
              <w:rPr>
                <w:b/>
                <w:sz w:val="20"/>
              </w:rPr>
              <w:t>Total Capital</w:t>
            </w:r>
          </w:p>
          <w:p>
            <w:pPr>
              <w:pStyle w:val="Normal"/>
              <w:rPr>
                <w:sz w:val="20"/>
                <w:u w:val="single"/>
              </w:rPr>
            </w:pPr>
            <w:r>
              <w:rPr>
                <w:b/>
                <w:sz w:val="20"/>
                <w:u w:val="single"/>
              </w:rPr>
              <w:t>Commitment</w:t>
            </w:r>
          </w:p>
        </w:tc>
        <w:tc>
          <w:tcPr>
            <w:tcW w:w="2160" w:type="dxa"/>
            <w:tcBorders/>
          </w:tcPr>
          <w:p>
            <w:pPr>
              <w:pStyle w:val="Normal"/>
              <w:rPr/>
            </w:pPr>
            <w:r>
              <w:rPr>
                <w:b/>
                <w:sz w:val="20"/>
              </w:rPr>
              <w:t xml:space="preserve">Cash Capital </w:t>
            </w:r>
            <w:r>
              <w:rPr>
                <w:b/>
                <w:sz w:val="20"/>
                <w:u w:val="single"/>
              </w:rPr>
              <w:t>Contributed To Date</w:t>
            </w:r>
          </w:p>
        </w:tc>
        <w:tc>
          <w:tcPr>
            <w:tcW w:w="2160" w:type="dxa"/>
            <w:tcBorders/>
          </w:tcPr>
          <w:p>
            <w:pPr>
              <w:pStyle w:val="Normal"/>
              <w:rPr>
                <w:b/>
                <w:sz w:val="20"/>
                <w:u w:val="single"/>
              </w:rPr>
            </w:pPr>
            <w:r>
              <w:rPr>
                <w:b/>
                <w:sz w:val="20"/>
                <w:u w:val="single"/>
              </w:rPr>
              <w:t>Remaining Cash Capital Commitment</w:t>
            </w:r>
          </w:p>
        </w:tc>
        <w:tc>
          <w:tcPr>
            <w:tcW w:w="2160" w:type="dxa"/>
            <w:tcBorders/>
          </w:tcPr>
          <w:p>
            <w:pPr>
              <w:pStyle w:val="Normal"/>
              <w:snapToGrid w:val="false"/>
              <w:rPr>
                <w:b/>
                <w:sz w:val="20"/>
                <w:u w:val="single"/>
              </w:rPr>
            </w:pPr>
            <w:r>
              <w:rPr>
                <w:b/>
                <w:sz w:val="20"/>
                <w:u w:val="single"/>
              </w:rPr>
            </w:r>
          </w:p>
          <w:p>
            <w:pPr>
              <w:pStyle w:val="Normal"/>
              <w:rPr>
                <w:b/>
                <w:sz w:val="20"/>
              </w:rPr>
            </w:pPr>
            <w:r>
              <w:rPr>
                <w:b/>
                <w:sz w:val="20"/>
                <w:u w:val="single"/>
              </w:rPr>
              <w:t>Percentage Interest</w:t>
            </w:r>
          </w:p>
        </w:tc>
      </w:tr>
      <w:tr>
        <w:trPr/>
        <w:tc>
          <w:tcPr>
            <w:tcW w:w="3078" w:type="dxa"/>
            <w:tcBorders/>
          </w:tcPr>
          <w:p>
            <w:pPr>
              <w:pStyle w:val="Normal"/>
              <w:snapToGrid w:val="false"/>
              <w:rPr>
                <w:b/>
                <w:sz w:val="20"/>
                <w:u w:val="single"/>
              </w:rPr>
            </w:pPr>
            <w:r>
              <w:rPr>
                <w:b/>
                <w:sz w:val="20"/>
                <w:u w:val="single"/>
              </w:rPr>
            </w:r>
          </w:p>
        </w:tc>
        <w:tc>
          <w:tcPr>
            <w:tcW w:w="2160" w:type="dxa"/>
            <w:tcBorders/>
          </w:tcPr>
          <w:p>
            <w:pPr>
              <w:pStyle w:val="Normal"/>
              <w:snapToGrid w:val="false"/>
              <w:rPr>
                <w:sz w:val="20"/>
                <w:u w:val="single"/>
              </w:rPr>
            </w:pPr>
            <w:r>
              <w:rPr>
                <w:sz w:val="20"/>
                <w:u w:val="single"/>
              </w:rPr>
            </w:r>
          </w:p>
        </w:tc>
        <w:tc>
          <w:tcPr>
            <w:tcW w:w="2160" w:type="dxa"/>
            <w:tcBorders/>
          </w:tcPr>
          <w:p>
            <w:pPr>
              <w:pStyle w:val="Normal"/>
              <w:snapToGrid w:val="false"/>
              <w:rPr>
                <w:sz w:val="20"/>
                <w:u w:val="single"/>
              </w:rPr>
            </w:pPr>
            <w:r>
              <w:rPr>
                <w:sz w:val="20"/>
                <w:u w:val="single"/>
              </w:rPr>
            </w:r>
          </w:p>
        </w:tc>
        <w:tc>
          <w:tcPr>
            <w:tcW w:w="2160" w:type="dxa"/>
            <w:tcBorders/>
          </w:tcPr>
          <w:p>
            <w:pPr>
              <w:pStyle w:val="Normal"/>
              <w:snapToGrid w:val="false"/>
              <w:rPr>
                <w:sz w:val="20"/>
                <w:u w:val="single"/>
              </w:rPr>
            </w:pPr>
            <w:r>
              <w:rPr>
                <w:sz w:val="20"/>
                <w:u w:val="single"/>
              </w:rPr>
            </w:r>
          </w:p>
        </w:tc>
        <w:tc>
          <w:tcPr>
            <w:tcW w:w="2160" w:type="dxa"/>
            <w:tcBorders/>
          </w:tcPr>
          <w:p>
            <w:pPr>
              <w:pStyle w:val="Normal"/>
              <w:snapToGrid w:val="false"/>
              <w:rPr>
                <w:sz w:val="20"/>
                <w:u w:val="single"/>
              </w:rPr>
            </w:pPr>
            <w:r>
              <w:rPr>
                <w:sz w:val="20"/>
                <w:u w:val="single"/>
              </w:rPr>
            </w:r>
          </w:p>
        </w:tc>
      </w:tr>
      <w:tr>
        <w:trPr/>
        <w:tc>
          <w:tcPr>
            <w:tcW w:w="3078" w:type="dxa"/>
            <w:tcBorders/>
          </w:tcPr>
          <w:p>
            <w:pPr>
              <w:pStyle w:val="Normal"/>
              <w:rPr>
                <w:sz w:val="20"/>
              </w:rPr>
            </w:pPr>
            <w:r>
              <w:rPr>
                <w:sz w:val="20"/>
              </w:rPr>
              <w:t>Ethyl Corporation</w:t>
            </w:r>
          </w:p>
        </w:tc>
        <w:tc>
          <w:tcPr>
            <w:tcW w:w="2160" w:type="dxa"/>
            <w:tcBorders/>
          </w:tcPr>
          <w:p>
            <w:pPr>
              <w:pStyle w:val="Normal"/>
              <w:rPr>
                <w:sz w:val="20"/>
              </w:rPr>
            </w:pPr>
            <w:r>
              <w:rPr>
                <w:sz w:val="20"/>
              </w:rPr>
              <w:t>$10,000,000*</w:t>
            </w:r>
          </w:p>
        </w:tc>
        <w:tc>
          <w:tcPr>
            <w:tcW w:w="2160" w:type="dxa"/>
            <w:tcBorders/>
          </w:tcPr>
          <w:p>
            <w:pPr>
              <w:pStyle w:val="Normal"/>
              <w:rPr>
                <w:sz w:val="20"/>
              </w:rPr>
            </w:pPr>
            <w:r>
              <w:rPr>
                <w:sz w:val="20"/>
              </w:rPr>
              <w:t>$3,750,000</w:t>
            </w:r>
          </w:p>
        </w:tc>
        <w:tc>
          <w:tcPr>
            <w:tcW w:w="2160" w:type="dxa"/>
            <w:tcBorders/>
          </w:tcPr>
          <w:p>
            <w:pPr>
              <w:pStyle w:val="Normal"/>
              <w:rPr>
                <w:sz w:val="20"/>
              </w:rPr>
            </w:pPr>
            <w:r>
              <w:rPr>
                <w:sz w:val="20"/>
              </w:rPr>
              <w:t>$1,250,000</w:t>
            </w:r>
          </w:p>
        </w:tc>
        <w:tc>
          <w:tcPr>
            <w:tcW w:w="2160" w:type="dxa"/>
            <w:tcBorders/>
          </w:tcPr>
          <w:p>
            <w:pPr>
              <w:pStyle w:val="Normal"/>
              <w:rPr>
                <w:sz w:val="20"/>
              </w:rPr>
            </w:pPr>
            <w:r>
              <w:rPr>
                <w:sz w:val="20"/>
              </w:rPr>
              <w:t>34.8432%</w:t>
            </w:r>
          </w:p>
          <w:p>
            <w:pPr>
              <w:pStyle w:val="Normal"/>
              <w:rPr>
                <w:sz w:val="20"/>
              </w:rPr>
            </w:pPr>
            <w:r>
              <w:rPr>
                <w:sz w:val="20"/>
              </w:rPr>
            </w:r>
          </w:p>
        </w:tc>
      </w:tr>
      <w:tr>
        <w:trPr/>
        <w:tc>
          <w:tcPr>
            <w:tcW w:w="3078" w:type="dxa"/>
            <w:tcBorders/>
          </w:tcPr>
          <w:p>
            <w:pPr>
              <w:pStyle w:val="Normal"/>
              <w:rPr>
                <w:sz w:val="20"/>
              </w:rPr>
            </w:pPr>
            <w:r>
              <w:rPr>
                <w:sz w:val="20"/>
              </w:rPr>
              <w:t>Albemarle Corporation</w:t>
            </w:r>
          </w:p>
        </w:tc>
        <w:tc>
          <w:tcPr>
            <w:tcW w:w="2160" w:type="dxa"/>
            <w:tcBorders/>
          </w:tcPr>
          <w:p>
            <w:pPr>
              <w:pStyle w:val="Normal"/>
              <w:rPr>
                <w:sz w:val="20"/>
              </w:rPr>
            </w:pPr>
            <w:r>
              <w:rPr>
                <w:sz w:val="20"/>
              </w:rPr>
              <w:t>$   500,000</w:t>
            </w:r>
          </w:p>
        </w:tc>
        <w:tc>
          <w:tcPr>
            <w:tcW w:w="2160" w:type="dxa"/>
            <w:tcBorders/>
          </w:tcPr>
          <w:p>
            <w:pPr>
              <w:pStyle w:val="Normal"/>
              <w:rPr>
                <w:sz w:val="20"/>
              </w:rPr>
            </w:pPr>
            <w:r>
              <w:rPr>
                <w:sz w:val="20"/>
              </w:rPr>
              <w:t>$   375,000</w:t>
            </w:r>
          </w:p>
        </w:tc>
        <w:tc>
          <w:tcPr>
            <w:tcW w:w="2160" w:type="dxa"/>
            <w:tcBorders/>
          </w:tcPr>
          <w:p>
            <w:pPr>
              <w:pStyle w:val="Normal"/>
              <w:rPr>
                <w:sz w:val="20"/>
              </w:rPr>
            </w:pPr>
            <w:r>
              <w:rPr>
                <w:sz w:val="20"/>
              </w:rPr>
              <w:t>$   125,000</w:t>
            </w:r>
          </w:p>
        </w:tc>
        <w:tc>
          <w:tcPr>
            <w:tcW w:w="2160" w:type="dxa"/>
            <w:tcBorders/>
          </w:tcPr>
          <w:p>
            <w:pPr>
              <w:pStyle w:val="Normal"/>
              <w:rPr>
                <w:sz w:val="20"/>
              </w:rPr>
            </w:pPr>
            <w:r>
              <w:rPr>
                <w:sz w:val="20"/>
              </w:rPr>
              <w:t>1.7422%</w:t>
            </w:r>
          </w:p>
          <w:p>
            <w:pPr>
              <w:pStyle w:val="Normal"/>
              <w:rPr>
                <w:sz w:val="20"/>
              </w:rPr>
            </w:pPr>
            <w:r>
              <w:rPr>
                <w:sz w:val="20"/>
              </w:rPr>
            </w:r>
          </w:p>
        </w:tc>
      </w:tr>
      <w:tr>
        <w:trPr/>
        <w:tc>
          <w:tcPr>
            <w:tcW w:w="3078" w:type="dxa"/>
            <w:tcBorders/>
          </w:tcPr>
          <w:p>
            <w:pPr>
              <w:pStyle w:val="Normal"/>
              <w:rPr>
                <w:sz w:val="20"/>
              </w:rPr>
            </w:pPr>
            <w:r>
              <w:rPr>
                <w:sz w:val="20"/>
              </w:rPr>
              <w:t>Borden Holdings, Inc.</w:t>
            </w:r>
          </w:p>
          <w:p>
            <w:pPr>
              <w:pStyle w:val="Normal"/>
              <w:rPr>
                <w:sz w:val="20"/>
              </w:rPr>
            </w:pPr>
            <w:r>
              <w:rPr>
                <w:sz w:val="20"/>
              </w:rPr>
            </w:r>
          </w:p>
        </w:tc>
        <w:tc>
          <w:tcPr>
            <w:tcW w:w="2160" w:type="dxa"/>
            <w:tcBorders/>
          </w:tcPr>
          <w:p>
            <w:pPr>
              <w:pStyle w:val="Normal"/>
              <w:rPr>
                <w:sz w:val="20"/>
              </w:rPr>
            </w:pPr>
            <w:r>
              <w:rPr>
                <w:sz w:val="20"/>
              </w:rPr>
              <w:t>$5,000,000</w:t>
            </w:r>
          </w:p>
        </w:tc>
        <w:tc>
          <w:tcPr>
            <w:tcW w:w="2160" w:type="dxa"/>
            <w:tcBorders/>
          </w:tcPr>
          <w:p>
            <w:pPr>
              <w:pStyle w:val="Normal"/>
              <w:rPr>
                <w:sz w:val="20"/>
              </w:rPr>
            </w:pPr>
            <w:r>
              <w:rPr>
                <w:sz w:val="20"/>
              </w:rPr>
              <w:t>$3,750,000</w:t>
            </w:r>
          </w:p>
        </w:tc>
        <w:tc>
          <w:tcPr>
            <w:tcW w:w="2160" w:type="dxa"/>
            <w:tcBorders/>
          </w:tcPr>
          <w:p>
            <w:pPr>
              <w:pStyle w:val="Normal"/>
              <w:rPr>
                <w:sz w:val="20"/>
              </w:rPr>
            </w:pPr>
            <w:r>
              <w:rPr>
                <w:sz w:val="20"/>
              </w:rPr>
              <w:t>$1,250,000</w:t>
            </w:r>
          </w:p>
        </w:tc>
        <w:tc>
          <w:tcPr>
            <w:tcW w:w="2160" w:type="dxa"/>
            <w:tcBorders/>
          </w:tcPr>
          <w:p>
            <w:pPr>
              <w:pStyle w:val="Normal"/>
              <w:rPr>
                <w:sz w:val="20"/>
              </w:rPr>
            </w:pPr>
            <w:r>
              <w:rPr>
                <w:sz w:val="20"/>
              </w:rPr>
              <w:t>17.4216%</w:t>
            </w:r>
          </w:p>
        </w:tc>
      </w:tr>
      <w:tr>
        <w:trPr/>
        <w:tc>
          <w:tcPr>
            <w:tcW w:w="3078" w:type="dxa"/>
            <w:tcBorders/>
          </w:tcPr>
          <w:p>
            <w:pPr>
              <w:pStyle w:val="Normal"/>
              <w:rPr>
                <w:sz w:val="20"/>
              </w:rPr>
            </w:pPr>
            <w:r>
              <w:rPr>
                <w:sz w:val="20"/>
              </w:rPr>
              <w:t>The Lubrizol Corporation</w:t>
            </w:r>
          </w:p>
          <w:p>
            <w:pPr>
              <w:pStyle w:val="Normal"/>
              <w:rPr>
                <w:sz w:val="20"/>
              </w:rPr>
            </w:pPr>
            <w:r>
              <w:rPr>
                <w:sz w:val="20"/>
              </w:rPr>
            </w:r>
          </w:p>
        </w:tc>
        <w:tc>
          <w:tcPr>
            <w:tcW w:w="2160" w:type="dxa"/>
            <w:tcBorders/>
          </w:tcPr>
          <w:p>
            <w:pPr>
              <w:pStyle w:val="Normal"/>
              <w:rPr>
                <w:sz w:val="20"/>
              </w:rPr>
            </w:pPr>
            <w:r>
              <w:rPr>
                <w:sz w:val="20"/>
              </w:rPr>
              <w:t>$1,000,000</w:t>
            </w:r>
          </w:p>
        </w:tc>
        <w:tc>
          <w:tcPr>
            <w:tcW w:w="2160" w:type="dxa"/>
            <w:tcBorders/>
          </w:tcPr>
          <w:p>
            <w:pPr>
              <w:pStyle w:val="Normal"/>
              <w:rPr>
                <w:sz w:val="20"/>
              </w:rPr>
            </w:pPr>
            <w:r>
              <w:rPr>
                <w:sz w:val="20"/>
              </w:rPr>
              <w:t>$   750,000</w:t>
            </w:r>
          </w:p>
        </w:tc>
        <w:tc>
          <w:tcPr>
            <w:tcW w:w="2160" w:type="dxa"/>
            <w:tcBorders/>
          </w:tcPr>
          <w:p>
            <w:pPr>
              <w:pStyle w:val="Normal"/>
              <w:rPr>
                <w:sz w:val="20"/>
              </w:rPr>
            </w:pPr>
            <w:r>
              <w:rPr>
                <w:sz w:val="20"/>
              </w:rPr>
              <w:t>$   250,000</w:t>
            </w:r>
          </w:p>
        </w:tc>
        <w:tc>
          <w:tcPr>
            <w:tcW w:w="2160" w:type="dxa"/>
            <w:tcBorders/>
          </w:tcPr>
          <w:p>
            <w:pPr>
              <w:pStyle w:val="Normal"/>
              <w:rPr>
                <w:sz w:val="20"/>
              </w:rPr>
            </w:pPr>
            <w:r>
              <w:rPr>
                <w:sz w:val="20"/>
              </w:rPr>
              <w:t>3.4843%</w:t>
            </w:r>
          </w:p>
        </w:tc>
      </w:tr>
      <w:tr>
        <w:trPr/>
        <w:tc>
          <w:tcPr>
            <w:tcW w:w="3078" w:type="dxa"/>
            <w:tcBorders/>
          </w:tcPr>
          <w:p>
            <w:pPr>
              <w:pStyle w:val="Normal"/>
              <w:rPr>
                <w:sz w:val="20"/>
              </w:rPr>
            </w:pPr>
            <w:r>
              <w:rPr>
                <w:sz w:val="20"/>
              </w:rPr>
              <w:t>Mays Chemical Company</w:t>
            </w:r>
          </w:p>
          <w:p>
            <w:pPr>
              <w:pStyle w:val="Normal"/>
              <w:rPr>
                <w:sz w:val="20"/>
              </w:rPr>
            </w:pPr>
            <w:r>
              <w:rPr>
                <w:sz w:val="20"/>
              </w:rPr>
            </w:r>
          </w:p>
        </w:tc>
        <w:tc>
          <w:tcPr>
            <w:tcW w:w="2160" w:type="dxa"/>
            <w:tcBorders/>
          </w:tcPr>
          <w:p>
            <w:pPr>
              <w:pStyle w:val="Normal"/>
              <w:rPr>
                <w:sz w:val="20"/>
              </w:rPr>
            </w:pPr>
            <w:r>
              <w:rPr>
                <w:sz w:val="20"/>
              </w:rPr>
              <w:t>$   100,000</w:t>
            </w:r>
          </w:p>
        </w:tc>
        <w:tc>
          <w:tcPr>
            <w:tcW w:w="2160" w:type="dxa"/>
            <w:tcBorders/>
          </w:tcPr>
          <w:p>
            <w:pPr>
              <w:pStyle w:val="Normal"/>
              <w:rPr>
                <w:sz w:val="20"/>
              </w:rPr>
            </w:pPr>
            <w:r>
              <w:rPr>
                <w:sz w:val="20"/>
              </w:rPr>
              <w:t>$     75,000</w:t>
            </w:r>
          </w:p>
        </w:tc>
        <w:tc>
          <w:tcPr>
            <w:tcW w:w="2160" w:type="dxa"/>
            <w:tcBorders/>
          </w:tcPr>
          <w:p>
            <w:pPr>
              <w:pStyle w:val="Normal"/>
              <w:rPr>
                <w:sz w:val="20"/>
              </w:rPr>
            </w:pPr>
            <w:r>
              <w:rPr>
                <w:sz w:val="20"/>
              </w:rPr>
              <w:t>$     25,000</w:t>
            </w:r>
          </w:p>
        </w:tc>
        <w:tc>
          <w:tcPr>
            <w:tcW w:w="2160" w:type="dxa"/>
            <w:tcBorders/>
          </w:tcPr>
          <w:p>
            <w:pPr>
              <w:pStyle w:val="Normal"/>
              <w:rPr>
                <w:sz w:val="20"/>
              </w:rPr>
            </w:pPr>
            <w:r>
              <w:rPr>
                <w:sz w:val="20"/>
              </w:rPr>
              <w:t>0.3484%</w:t>
            </w:r>
          </w:p>
        </w:tc>
      </w:tr>
      <w:tr>
        <w:trPr/>
        <w:tc>
          <w:tcPr>
            <w:tcW w:w="3078" w:type="dxa"/>
            <w:tcBorders/>
          </w:tcPr>
          <w:p>
            <w:pPr>
              <w:pStyle w:val="Normal"/>
              <w:rPr>
                <w:sz w:val="20"/>
              </w:rPr>
            </w:pPr>
            <w:r>
              <w:rPr>
                <w:sz w:val="20"/>
              </w:rPr>
              <w:t>Lyondell Chemical Company</w:t>
            </w:r>
          </w:p>
          <w:p>
            <w:pPr>
              <w:pStyle w:val="Normal"/>
              <w:rPr>
                <w:sz w:val="20"/>
              </w:rPr>
            </w:pPr>
            <w:r>
              <w:rPr>
                <w:sz w:val="20"/>
              </w:rPr>
            </w:r>
          </w:p>
        </w:tc>
        <w:tc>
          <w:tcPr>
            <w:tcW w:w="2160" w:type="dxa"/>
            <w:tcBorders/>
          </w:tcPr>
          <w:p>
            <w:pPr>
              <w:pStyle w:val="Normal"/>
              <w:rPr>
                <w:sz w:val="20"/>
              </w:rPr>
            </w:pPr>
            <w:r>
              <w:rPr>
                <w:sz w:val="20"/>
              </w:rPr>
              <w:t>$4,000,000</w:t>
            </w:r>
          </w:p>
        </w:tc>
        <w:tc>
          <w:tcPr>
            <w:tcW w:w="2160" w:type="dxa"/>
            <w:tcBorders/>
          </w:tcPr>
          <w:p>
            <w:pPr>
              <w:pStyle w:val="Normal"/>
              <w:rPr>
                <w:sz w:val="20"/>
              </w:rPr>
            </w:pPr>
            <w:r>
              <w:rPr>
                <w:sz w:val="20"/>
              </w:rPr>
              <w:t>$3,000,000</w:t>
            </w:r>
          </w:p>
        </w:tc>
        <w:tc>
          <w:tcPr>
            <w:tcW w:w="2160" w:type="dxa"/>
            <w:tcBorders/>
          </w:tcPr>
          <w:p>
            <w:pPr>
              <w:pStyle w:val="Normal"/>
              <w:rPr>
                <w:sz w:val="20"/>
              </w:rPr>
            </w:pPr>
            <w:r>
              <w:rPr>
                <w:sz w:val="20"/>
              </w:rPr>
              <w:t>$1,000,000</w:t>
            </w:r>
          </w:p>
        </w:tc>
        <w:tc>
          <w:tcPr>
            <w:tcW w:w="2160" w:type="dxa"/>
            <w:tcBorders/>
          </w:tcPr>
          <w:p>
            <w:pPr>
              <w:pStyle w:val="Normal"/>
              <w:rPr>
                <w:sz w:val="20"/>
              </w:rPr>
            </w:pPr>
            <w:r>
              <w:rPr>
                <w:sz w:val="20"/>
              </w:rPr>
              <w:t>13.9373</w:t>
            </w:r>
          </w:p>
        </w:tc>
      </w:tr>
      <w:tr>
        <w:trPr/>
        <w:tc>
          <w:tcPr>
            <w:tcW w:w="3078" w:type="dxa"/>
            <w:tcBorders/>
          </w:tcPr>
          <w:p>
            <w:pPr>
              <w:pStyle w:val="Normal"/>
              <w:rPr>
                <w:sz w:val="20"/>
              </w:rPr>
            </w:pPr>
            <w:r>
              <w:rPr>
                <w:sz w:val="20"/>
              </w:rPr>
              <w:t>Occidental Chemical Corporation</w:t>
            </w:r>
          </w:p>
          <w:p>
            <w:pPr>
              <w:pStyle w:val="Normal"/>
              <w:rPr>
                <w:sz w:val="20"/>
              </w:rPr>
            </w:pPr>
            <w:r>
              <w:rPr>
                <w:sz w:val="20"/>
              </w:rPr>
            </w:r>
          </w:p>
        </w:tc>
        <w:tc>
          <w:tcPr>
            <w:tcW w:w="2160" w:type="dxa"/>
            <w:tcBorders/>
          </w:tcPr>
          <w:p>
            <w:pPr>
              <w:pStyle w:val="Normal"/>
              <w:rPr>
                <w:sz w:val="20"/>
              </w:rPr>
            </w:pPr>
            <w:r>
              <w:rPr>
                <w:sz w:val="20"/>
              </w:rPr>
              <w:t>$4,000,000</w:t>
            </w:r>
          </w:p>
        </w:tc>
        <w:tc>
          <w:tcPr>
            <w:tcW w:w="2160" w:type="dxa"/>
            <w:tcBorders/>
          </w:tcPr>
          <w:p>
            <w:pPr>
              <w:pStyle w:val="Normal"/>
              <w:rPr>
                <w:sz w:val="20"/>
              </w:rPr>
            </w:pPr>
            <w:r>
              <w:rPr>
                <w:sz w:val="20"/>
              </w:rPr>
              <w:t>$3,000,000</w:t>
            </w:r>
          </w:p>
        </w:tc>
        <w:tc>
          <w:tcPr>
            <w:tcW w:w="2160" w:type="dxa"/>
            <w:tcBorders/>
          </w:tcPr>
          <w:p>
            <w:pPr>
              <w:pStyle w:val="Normal"/>
              <w:rPr>
                <w:sz w:val="20"/>
              </w:rPr>
            </w:pPr>
            <w:r>
              <w:rPr>
                <w:sz w:val="20"/>
              </w:rPr>
              <w:t>$1,000,000</w:t>
            </w:r>
          </w:p>
        </w:tc>
        <w:tc>
          <w:tcPr>
            <w:tcW w:w="2160" w:type="dxa"/>
            <w:tcBorders/>
          </w:tcPr>
          <w:p>
            <w:pPr>
              <w:pStyle w:val="Normal"/>
              <w:rPr>
                <w:sz w:val="20"/>
              </w:rPr>
            </w:pPr>
            <w:r>
              <w:rPr>
                <w:sz w:val="20"/>
              </w:rPr>
              <w:t>13.9373</w:t>
            </w:r>
          </w:p>
        </w:tc>
      </w:tr>
      <w:tr>
        <w:trPr/>
        <w:tc>
          <w:tcPr>
            <w:tcW w:w="3078" w:type="dxa"/>
            <w:tcBorders/>
          </w:tcPr>
          <w:p>
            <w:pPr>
              <w:pStyle w:val="Normal"/>
              <w:rPr>
                <w:sz w:val="20"/>
              </w:rPr>
            </w:pPr>
            <w:r>
              <w:rPr>
                <w:sz w:val="20"/>
              </w:rPr>
              <w:t>Solutia Inc.</w:t>
            </w:r>
          </w:p>
          <w:p>
            <w:pPr>
              <w:pStyle w:val="Normal"/>
              <w:rPr>
                <w:sz w:val="20"/>
              </w:rPr>
            </w:pPr>
            <w:r>
              <w:rPr>
                <w:sz w:val="20"/>
              </w:rPr>
            </w:r>
          </w:p>
        </w:tc>
        <w:tc>
          <w:tcPr>
            <w:tcW w:w="2160" w:type="dxa"/>
            <w:tcBorders/>
          </w:tcPr>
          <w:p>
            <w:pPr>
              <w:pStyle w:val="Normal"/>
              <w:rPr>
                <w:sz w:val="20"/>
              </w:rPr>
            </w:pPr>
            <w:r>
              <w:rPr>
                <w:sz w:val="20"/>
              </w:rPr>
              <w:t>$4,000,000</w:t>
            </w:r>
          </w:p>
        </w:tc>
        <w:tc>
          <w:tcPr>
            <w:tcW w:w="2160" w:type="dxa"/>
            <w:tcBorders/>
          </w:tcPr>
          <w:p>
            <w:pPr>
              <w:pStyle w:val="Normal"/>
              <w:rPr>
                <w:sz w:val="20"/>
              </w:rPr>
            </w:pPr>
            <w:r>
              <w:rPr>
                <w:sz w:val="20"/>
              </w:rPr>
              <w:t>$3,000,000</w:t>
            </w:r>
          </w:p>
        </w:tc>
        <w:tc>
          <w:tcPr>
            <w:tcW w:w="2160" w:type="dxa"/>
            <w:tcBorders/>
          </w:tcPr>
          <w:p>
            <w:pPr>
              <w:pStyle w:val="Normal"/>
              <w:rPr>
                <w:sz w:val="20"/>
              </w:rPr>
            </w:pPr>
            <w:r>
              <w:rPr>
                <w:sz w:val="20"/>
              </w:rPr>
              <w:t>$1,000,000</w:t>
            </w:r>
          </w:p>
        </w:tc>
        <w:tc>
          <w:tcPr>
            <w:tcW w:w="2160" w:type="dxa"/>
            <w:tcBorders/>
          </w:tcPr>
          <w:p>
            <w:pPr>
              <w:pStyle w:val="Normal"/>
              <w:rPr>
                <w:sz w:val="20"/>
              </w:rPr>
            </w:pPr>
            <w:r>
              <w:rPr>
                <w:sz w:val="20"/>
              </w:rPr>
              <w:t>13.9373</w:t>
            </w:r>
          </w:p>
        </w:tc>
      </w:tr>
      <w:tr>
        <w:trPr/>
        <w:tc>
          <w:tcPr>
            <w:tcW w:w="3078" w:type="dxa"/>
            <w:tcBorders/>
          </w:tcPr>
          <w:p>
            <w:pPr>
              <w:pStyle w:val="Normal"/>
              <w:rPr>
                <w:sz w:val="20"/>
              </w:rPr>
            </w:pPr>
            <w:r>
              <w:rPr>
                <w:sz w:val="20"/>
              </w:rPr>
              <w:t>PhenolChemie, Inc.</w:t>
            </w:r>
          </w:p>
        </w:tc>
        <w:tc>
          <w:tcPr>
            <w:tcW w:w="2160" w:type="dxa"/>
            <w:tcBorders/>
          </w:tcPr>
          <w:p>
            <w:pPr>
              <w:pStyle w:val="Normal"/>
              <w:rPr>
                <w:sz w:val="20"/>
              </w:rPr>
            </w:pPr>
            <w:r>
              <w:rPr>
                <w:sz w:val="20"/>
              </w:rPr>
              <w:t>$   100,000</w:t>
            </w:r>
          </w:p>
        </w:tc>
        <w:tc>
          <w:tcPr>
            <w:tcW w:w="2160" w:type="dxa"/>
            <w:tcBorders/>
          </w:tcPr>
          <w:p>
            <w:pPr>
              <w:pStyle w:val="Normal"/>
              <w:rPr>
                <w:sz w:val="20"/>
              </w:rPr>
            </w:pPr>
            <w:r>
              <w:rPr>
                <w:sz w:val="20"/>
              </w:rPr>
              <w:t>$     75,000</w:t>
            </w:r>
          </w:p>
        </w:tc>
        <w:tc>
          <w:tcPr>
            <w:tcW w:w="2160" w:type="dxa"/>
            <w:tcBorders/>
          </w:tcPr>
          <w:p>
            <w:pPr>
              <w:pStyle w:val="Normal"/>
              <w:rPr>
                <w:sz w:val="20"/>
              </w:rPr>
            </w:pPr>
            <w:r>
              <w:rPr>
                <w:sz w:val="20"/>
              </w:rPr>
              <w:t>$     25,000</w:t>
            </w:r>
          </w:p>
        </w:tc>
        <w:tc>
          <w:tcPr>
            <w:tcW w:w="2160" w:type="dxa"/>
            <w:tcBorders/>
          </w:tcPr>
          <w:p>
            <w:pPr>
              <w:pStyle w:val="Normal"/>
              <w:rPr>
                <w:sz w:val="20"/>
              </w:rPr>
            </w:pPr>
            <w:r>
              <w:rPr>
                <w:sz w:val="20"/>
              </w:rPr>
              <w:t>0.3484</w:t>
            </w:r>
          </w:p>
        </w:tc>
      </w:tr>
      <w:tr>
        <w:trPr/>
        <w:tc>
          <w:tcPr>
            <w:tcW w:w="3078" w:type="dxa"/>
            <w:tcBorders/>
          </w:tcPr>
          <w:p>
            <w:pPr>
              <w:pStyle w:val="Normal"/>
              <w:snapToGrid w:val="false"/>
              <w:jc w:val="end"/>
              <w:rPr>
                <w:b/>
                <w:sz w:val="20"/>
                <w:u w:val="single"/>
              </w:rPr>
            </w:pPr>
            <w:r>
              <w:rPr>
                <w:b/>
                <w:sz w:val="20"/>
                <w:u w:val="single"/>
              </w:rPr>
            </w:r>
          </w:p>
          <w:p>
            <w:pPr>
              <w:pStyle w:val="Normal"/>
              <w:rPr>
                <w:b/>
              </w:rPr>
            </w:pPr>
            <w:r>
              <w:rPr>
                <w:b/>
              </w:rPr>
              <w:t>Total:</w:t>
            </w:r>
          </w:p>
        </w:tc>
        <w:tc>
          <w:tcPr>
            <w:tcW w:w="2160" w:type="dxa"/>
            <w:tcBorders/>
          </w:tcPr>
          <w:p>
            <w:pPr>
              <w:pStyle w:val="Normal"/>
              <w:snapToGrid w:val="false"/>
              <w:rPr>
                <w:b/>
                <w:sz w:val="20"/>
              </w:rPr>
            </w:pPr>
            <w:r>
              <w:rPr>
                <w:b/>
                <w:sz w:val="20"/>
              </w:rPr>
            </w:r>
          </w:p>
          <w:p>
            <w:pPr>
              <w:pStyle w:val="Normal"/>
              <w:rPr>
                <w:sz w:val="20"/>
              </w:rPr>
            </w:pPr>
            <w:r>
              <w:rPr>
                <w:b/>
                <w:sz w:val="20"/>
              </w:rPr>
              <w:t>$28,700,000**</w:t>
            </w:r>
          </w:p>
        </w:tc>
        <w:tc>
          <w:tcPr>
            <w:tcW w:w="2160" w:type="dxa"/>
            <w:tcBorders/>
          </w:tcPr>
          <w:p>
            <w:pPr>
              <w:pStyle w:val="Normal"/>
              <w:snapToGrid w:val="false"/>
              <w:rPr>
                <w:b/>
                <w:sz w:val="20"/>
              </w:rPr>
            </w:pPr>
            <w:r>
              <w:rPr>
                <w:b/>
                <w:sz w:val="20"/>
              </w:rPr>
            </w:r>
          </w:p>
          <w:p>
            <w:pPr>
              <w:pStyle w:val="Normal"/>
              <w:rPr>
                <w:b/>
                <w:sz w:val="20"/>
              </w:rPr>
            </w:pPr>
            <w:r>
              <w:rPr>
                <w:b/>
                <w:sz w:val="20"/>
              </w:rPr>
              <w:t>$17,775,000</w:t>
            </w:r>
          </w:p>
        </w:tc>
        <w:tc>
          <w:tcPr>
            <w:tcW w:w="2160" w:type="dxa"/>
            <w:tcBorders/>
          </w:tcPr>
          <w:p>
            <w:pPr>
              <w:pStyle w:val="Normal"/>
              <w:snapToGrid w:val="false"/>
              <w:rPr>
                <w:b/>
                <w:sz w:val="20"/>
              </w:rPr>
            </w:pPr>
            <w:r>
              <w:rPr>
                <w:b/>
                <w:sz w:val="20"/>
              </w:rPr>
            </w:r>
          </w:p>
          <w:p>
            <w:pPr>
              <w:pStyle w:val="Normal"/>
              <w:rPr>
                <w:b/>
                <w:sz w:val="20"/>
              </w:rPr>
            </w:pPr>
            <w:r>
              <w:rPr>
                <w:b/>
                <w:sz w:val="20"/>
              </w:rPr>
              <w:t>$5,925,000</w:t>
            </w:r>
          </w:p>
        </w:tc>
        <w:tc>
          <w:tcPr>
            <w:tcW w:w="2160" w:type="dxa"/>
            <w:tcBorders/>
          </w:tcPr>
          <w:p>
            <w:pPr>
              <w:pStyle w:val="Normal"/>
              <w:snapToGrid w:val="false"/>
              <w:rPr>
                <w:b/>
                <w:sz w:val="20"/>
              </w:rPr>
            </w:pPr>
            <w:r>
              <w:rPr>
                <w:b/>
                <w:sz w:val="20"/>
              </w:rPr>
            </w:r>
          </w:p>
          <w:p>
            <w:pPr>
              <w:pStyle w:val="Normal"/>
              <w:rPr>
                <w:b/>
                <w:sz w:val="20"/>
              </w:rPr>
            </w:pPr>
            <w:r>
              <w:rPr>
                <w:b/>
                <w:sz w:val="20"/>
              </w:rPr>
              <w:t>100.0000%</w:t>
            </w:r>
          </w:p>
        </w:tc>
      </w:tr>
    </w:tbl>
    <w:p>
      <w:pPr>
        <w:pStyle w:val="Normal"/>
        <w:rPr/>
      </w:pPr>
      <w:r>
        <w:rPr/>
      </w:r>
    </w:p>
    <w:p>
      <w:pPr>
        <w:pStyle w:val="Normal"/>
        <w:tabs>
          <w:tab w:val="clear" w:pos="720"/>
          <w:tab w:val="left" w:pos="360" w:leader="none"/>
        </w:tabs>
        <w:rPr/>
      </w:pPr>
      <w:r>
        <w:rPr/>
        <w:t xml:space="preserve">* </w:t>
        <w:tab/>
        <w:t>Includes $5,000,000 in non-cash assets that were contributed at inception.</w:t>
      </w:r>
    </w:p>
    <w:p>
      <w:pPr>
        <w:pStyle w:val="Normal"/>
        <w:tabs>
          <w:tab w:val="clear" w:pos="720"/>
          <w:tab w:val="left" w:pos="360" w:leader="none"/>
        </w:tabs>
        <w:rPr/>
      </w:pPr>
      <w:r>
        <w:rPr/>
      </w:r>
    </w:p>
    <w:p>
      <w:pPr>
        <w:pStyle w:val="Normal"/>
        <w:tabs>
          <w:tab w:val="clear" w:pos="720"/>
          <w:tab w:val="left" w:pos="360" w:leader="none"/>
        </w:tabs>
        <w:rPr/>
      </w:pPr>
      <w:r>
        <w:rPr/>
        <w:t>**</w:t>
        <w:tab/>
        <w:t>Includes $23,700,000 in cash contributions.</w:t>
      </w:r>
    </w:p>
    <w:p>
      <w:pPr>
        <w:pStyle w:val="Normal"/>
        <w:rPr/>
      </w:pPr>
      <w:r>
        <w:rPr/>
      </w:r>
    </w:p>
    <w:p>
      <w:pPr>
        <w:pStyle w:val="Normal"/>
        <w:jc w:val="center"/>
        <w:rPr/>
      </w:pPr>
      <w:r>
        <w:rPr/>
      </w:r>
      <w:r>
        <w:br w:type="page"/>
      </w:r>
    </w:p>
    <w:p>
      <w:pPr>
        <w:pStyle w:val="Normal"/>
        <w:jc w:val="center"/>
        <w:rPr>
          <w:b/>
        </w:rPr>
      </w:pPr>
      <w:r>
        <w:rPr>
          <w:b/>
        </w:rPr>
        <w:t>SCHEDULE 3.3</w:t>
      </w:r>
    </w:p>
    <w:p>
      <w:pPr>
        <w:pStyle w:val="Normal"/>
        <w:jc w:val="center"/>
        <w:rPr>
          <w:b/>
        </w:rPr>
      </w:pPr>
      <w:r>
        <w:rPr>
          <w:b/>
        </w:rPr>
        <w:t>SUBSIDIARIES, TRANSACTIONS WITH MEMBERS</w:t>
      </w:r>
    </w:p>
    <w:p>
      <w:pPr>
        <w:pStyle w:val="Normal"/>
        <w:jc w:val="center"/>
        <w:rPr>
          <w:b/>
        </w:rPr>
      </w:pPr>
      <w:r>
        <w:rPr>
          <w:b/>
        </w:rPr>
      </w:r>
    </w:p>
    <w:p>
      <w:pPr>
        <w:pStyle w:val="Normal"/>
        <w:rPr/>
      </w:pPr>
      <w:r>
        <w:rPr/>
        <w:t>None.</w:t>
      </w:r>
    </w:p>
    <w:p>
      <w:pPr>
        <w:pStyle w:val="Normal"/>
        <w:rPr/>
      </w:pPr>
      <w:r>
        <w:rPr/>
      </w:r>
      <w:r>
        <w:br w:type="page"/>
      </w:r>
    </w:p>
    <w:p>
      <w:pPr>
        <w:pStyle w:val="Normal"/>
        <w:jc w:val="center"/>
        <w:rPr>
          <w:b/>
        </w:rPr>
      </w:pPr>
      <w:r>
        <w:rPr>
          <w:b/>
        </w:rPr>
        <w:t>SCHEDULE 3.7</w:t>
      </w:r>
    </w:p>
    <w:p>
      <w:pPr>
        <w:pStyle w:val="Normal"/>
        <w:jc w:val="center"/>
        <w:rPr>
          <w:b/>
        </w:rPr>
      </w:pPr>
      <w:r>
        <w:rPr>
          <w:b/>
        </w:rPr>
        <w:t>GOVERNMENTAL CONSENTS</w:t>
      </w:r>
    </w:p>
    <w:p>
      <w:pPr>
        <w:pStyle w:val="Normal"/>
        <w:jc w:val="center"/>
        <w:rPr>
          <w:b/>
        </w:rPr>
      </w:pPr>
      <w:r>
        <w:rPr>
          <w:b/>
        </w:rPr>
      </w:r>
    </w:p>
    <w:p>
      <w:pPr>
        <w:pStyle w:val="Normal"/>
        <w:rPr/>
      </w:pPr>
      <w:r>
        <w:rPr/>
        <w:t>Form D filing with the Securities and Exchange Commission with respect to the issuance of the Subject Interest.</w:t>
      </w:r>
    </w:p>
    <w:p>
      <w:pPr>
        <w:pStyle w:val="Normal"/>
        <w:rPr/>
      </w:pPr>
      <w:r>
        <w:rPr/>
      </w:r>
      <w:r>
        <w:br w:type="page"/>
      </w:r>
    </w:p>
    <w:p>
      <w:pPr>
        <w:pStyle w:val="Normal"/>
        <w:jc w:val="center"/>
        <w:rPr>
          <w:b/>
        </w:rPr>
      </w:pPr>
      <w:r>
        <w:rPr>
          <w:b/>
        </w:rPr>
        <w:t>SCHEDULE 3.9</w:t>
      </w:r>
    </w:p>
    <w:p>
      <w:pPr>
        <w:pStyle w:val="Normal"/>
        <w:jc w:val="center"/>
        <w:rPr>
          <w:b/>
        </w:rPr>
      </w:pPr>
      <w:r>
        <w:rPr>
          <w:b/>
        </w:rPr>
        <w:t>FINANCIAL STATEMENTS</w:t>
      </w:r>
    </w:p>
    <w:p>
      <w:pPr>
        <w:pStyle w:val="Normal"/>
        <w:jc w:val="center"/>
        <w:rPr>
          <w:b/>
        </w:rPr>
      </w:pPr>
      <w:r>
        <w:rPr>
          <w:b/>
        </w:rPr>
      </w:r>
    </w:p>
    <w:p>
      <w:pPr>
        <w:sectPr>
          <w:type w:val="nextPage"/>
          <w:pgSz w:w="12240" w:h="15840"/>
          <w:pgMar w:left="1440" w:right="1440" w:gutter="0" w:header="0" w:top="1440" w:footer="0" w:bottom="1440"/>
          <w:pgNumType w:fmt="decimal"/>
          <w:formProt w:val="false"/>
          <w:titlePg/>
          <w:textDirection w:val="lrTb"/>
          <w:docGrid w:type="default" w:linePitch="360" w:charSpace="0"/>
        </w:sectPr>
        <w:pStyle w:val="Normal"/>
        <w:rPr/>
      </w:pPr>
      <w:r>
        <w:rPr/>
        <w:t>Attached.</w:t>
      </w:r>
    </w:p>
    <w:tbl>
      <w:tblPr>
        <w:tblW w:w="6982" w:type="dxa"/>
        <w:jc w:val="start"/>
        <w:tblInd w:w="0" w:type="dxa"/>
        <w:tblLayout w:type="fixed"/>
        <w:tblCellMar>
          <w:top w:w="0" w:type="dxa"/>
          <w:start w:w="30" w:type="dxa"/>
          <w:bottom w:w="0" w:type="dxa"/>
          <w:end w:w="30" w:type="dxa"/>
        </w:tblCellMar>
      </w:tblPr>
      <w:tblGrid>
        <w:gridCol w:w="4320"/>
        <w:gridCol w:w="1642"/>
        <w:gridCol w:w="1020"/>
      </w:tblGrid>
      <w:tr>
        <w:trPr>
          <w:trHeight w:val="250" w:hRule="atLeast"/>
        </w:trPr>
        <w:tc>
          <w:tcPr>
            <w:tcW w:w="4320" w:type="dxa"/>
            <w:tcBorders/>
          </w:tcPr>
          <w:p>
            <w:pPr>
              <w:pStyle w:val="Normal"/>
              <w:rPr>
                <w:rFonts w:ascii="Arial" w:hAnsi="Arial" w:cs="Arial"/>
                <w:b/>
                <w:color w:val="000000"/>
                <w:sz w:val="20"/>
              </w:rPr>
            </w:pPr>
            <w:r>
              <w:rPr>
                <w:rFonts w:cs="Arial" w:ascii="Arial" w:hAnsi="Arial"/>
                <w:b/>
                <w:color w:val="000000"/>
                <w:sz w:val="20"/>
              </w:rPr>
              <w:t>ENVERA LLC</w:t>
            </w:r>
          </w:p>
        </w:tc>
        <w:tc>
          <w:tcPr>
            <w:tcW w:w="1642"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b/>
                <w:color w:val="000000"/>
                <w:sz w:val="20"/>
              </w:rPr>
            </w:pPr>
            <w:r>
              <w:rPr>
                <w:rFonts w:cs="Arial" w:ascii="Arial" w:hAnsi="Arial"/>
                <w:b/>
                <w:color w:val="000000"/>
                <w:sz w:val="20"/>
              </w:rPr>
              <w:t>UNAUDITED STATEMENT OF INCOME</w:t>
            </w:r>
          </w:p>
        </w:tc>
        <w:tc>
          <w:tcPr>
            <w:tcW w:w="1642"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6982" w:type="dxa"/>
            <w:gridSpan w:val="3"/>
            <w:tcBorders/>
          </w:tcPr>
          <w:p>
            <w:pPr>
              <w:pStyle w:val="Normal"/>
              <w:rPr>
                <w:rFonts w:ascii="Arial" w:hAnsi="Arial" w:cs="Arial"/>
                <w:b/>
                <w:color w:val="000000"/>
                <w:sz w:val="20"/>
              </w:rPr>
            </w:pPr>
            <w:r>
              <w:rPr>
                <w:rFonts w:cs="Arial" w:ascii="Arial" w:hAnsi="Arial"/>
                <w:b/>
                <w:color w:val="000000"/>
                <w:sz w:val="20"/>
              </w:rPr>
              <w:t>FOR THE PERIOD FROM INCEPTION THROUGH NOVEMBER 30, 2000</w:t>
            </w:r>
          </w:p>
        </w:tc>
      </w:tr>
      <w:tr>
        <w:trPr>
          <w:trHeight w:val="250" w:hRule="atLeast"/>
        </w:trPr>
        <w:tc>
          <w:tcPr>
            <w:tcW w:w="4320"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snapToGrid w:val="false"/>
              <w:jc w:val="center"/>
              <w:rPr>
                <w:rFonts w:ascii="Arial" w:hAnsi="Arial" w:cs="Arial"/>
                <w:color w:val="000000"/>
                <w:sz w:val="20"/>
              </w:rPr>
            </w:pPr>
            <w:r>
              <w:rPr>
                <w:rFonts w:cs="Arial" w:ascii="Arial" w:hAnsi="Arial"/>
                <w:color w:val="000000"/>
                <w:sz w:val="20"/>
              </w:rPr>
            </w:r>
          </w:p>
        </w:tc>
        <w:tc>
          <w:tcPr>
            <w:tcW w:w="1642" w:type="dxa"/>
            <w:tcBorders>
              <w:bottom w:val="single" w:sz="6" w:space="0" w:color="000000"/>
            </w:tcBorders>
          </w:tcPr>
          <w:p>
            <w:pPr>
              <w:pStyle w:val="Normal"/>
              <w:jc w:val="center"/>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 xml:space="preserve">Year to Date </w:t>
            </w:r>
          </w:p>
        </w:tc>
        <w:tc>
          <w:tcPr>
            <w:tcW w:w="1020" w:type="dxa"/>
            <w:tcBorders/>
          </w:tcPr>
          <w:p>
            <w:pPr>
              <w:pStyle w:val="Normal"/>
              <w:snapToGrid w:val="false"/>
              <w:jc w:val="end"/>
              <w:rPr>
                <w:rFonts w:ascii="Arial" w:hAnsi="Arial" w:cs="Arial"/>
                <w:b/>
                <w:color w:val="000000"/>
                <w:sz w:val="20"/>
              </w:rPr>
            </w:pPr>
            <w:r>
              <w:rPr>
                <w:rFonts w:cs="Arial" w:ascii="Arial" w:hAnsi="Arial"/>
                <w:b/>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Revenues &amp; Other Income</w:t>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Revenue</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Other Income</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Interest Income</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51,278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snapToGrid w:val="false"/>
              <w:rPr>
                <w:rFonts w:ascii="Arial" w:hAnsi="Arial" w:cs="Arial"/>
                <w:color w:val="000000"/>
                <w:sz w:val="20"/>
              </w:rPr>
            </w:pPr>
            <w:r>
              <w:rPr>
                <w:rFonts w:cs="Arial" w:ascii="Arial" w:hAnsi="Arial"/>
                <w:color w:val="000000"/>
                <w:sz w:val="20"/>
              </w:rPr>
            </w:r>
          </w:p>
        </w:tc>
        <w:tc>
          <w:tcPr>
            <w:tcW w:w="1642" w:type="dxa"/>
            <w:tcBorders>
              <w:top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Total Revenues &amp; Other Income</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51,278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snapToGrid w:val="false"/>
              <w:rPr>
                <w:rFonts w:ascii="Arial" w:hAnsi="Arial" w:cs="Arial"/>
                <w:color w:val="000000"/>
                <w:sz w:val="20"/>
              </w:rPr>
            </w:pPr>
            <w:r>
              <w:rPr>
                <w:rFonts w:cs="Arial" w:ascii="Arial" w:hAnsi="Arial"/>
                <w:color w:val="000000"/>
                <w:sz w:val="20"/>
              </w:rPr>
            </w:r>
          </w:p>
        </w:tc>
        <w:tc>
          <w:tcPr>
            <w:tcW w:w="1642" w:type="dxa"/>
            <w:tcBorders>
              <w:top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snapToGrid w:val="false"/>
              <w:jc w:val="center"/>
              <w:rPr>
                <w:rFonts w:ascii="Arial" w:hAnsi="Arial" w:cs="Arial"/>
                <w:color w:val="000000"/>
                <w:sz w:val="20"/>
              </w:rPr>
            </w:pPr>
            <w:r>
              <w:rPr>
                <w:rFonts w:cs="Arial" w:ascii="Arial" w:hAnsi="Arial"/>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Expenses</w:t>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Hardware &amp; Hardware Services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453,860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Software &amp; Software Services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775,279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Other Services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2,533,580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Membership Development</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145,491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General &amp; Administrative</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509,401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Office Facilities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225,704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Travel &amp; Entertainment</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323,215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Compensation</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1,106,001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Employee Benefits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26,677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Taxes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83,107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Depreciation &amp; Amortization</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594,750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Interest Expense</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13,701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Suspense</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snapToGrid w:val="false"/>
              <w:rPr>
                <w:rFonts w:ascii="Arial" w:hAnsi="Arial" w:cs="Arial"/>
                <w:color w:val="000000"/>
                <w:sz w:val="20"/>
              </w:rPr>
            </w:pPr>
            <w:r>
              <w:rPr>
                <w:rFonts w:cs="Arial" w:ascii="Arial" w:hAnsi="Arial"/>
                <w:color w:val="000000"/>
                <w:sz w:val="20"/>
              </w:rPr>
            </w:r>
          </w:p>
        </w:tc>
        <w:tc>
          <w:tcPr>
            <w:tcW w:w="1642" w:type="dxa"/>
            <w:tcBorders>
              <w:top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rPr>
                <w:rFonts w:ascii="Arial" w:hAnsi="Arial" w:cs="Arial"/>
                <w:color w:val="000000"/>
                <w:sz w:val="20"/>
              </w:rPr>
            </w:pPr>
            <w:r>
              <w:rPr>
                <w:rFonts w:cs="Arial" w:ascii="Arial" w:hAnsi="Arial"/>
                <w:color w:val="000000"/>
                <w:sz w:val="20"/>
              </w:rPr>
              <w:t>Total Expenses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6,790,765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320" w:type="dxa"/>
            <w:tcBorders/>
          </w:tcPr>
          <w:p>
            <w:pPr>
              <w:pStyle w:val="Normal"/>
              <w:snapToGrid w:val="false"/>
              <w:rPr>
                <w:rFonts w:ascii="Arial" w:hAnsi="Arial" w:cs="Arial"/>
                <w:color w:val="000000"/>
                <w:sz w:val="20"/>
              </w:rPr>
            </w:pPr>
            <w:r>
              <w:rPr>
                <w:rFonts w:cs="Arial" w:ascii="Arial" w:hAnsi="Arial"/>
                <w:color w:val="000000"/>
                <w:sz w:val="20"/>
              </w:rPr>
            </w:r>
          </w:p>
        </w:tc>
        <w:tc>
          <w:tcPr>
            <w:tcW w:w="1642" w:type="dxa"/>
            <w:tcBorders>
              <w:top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64" w:hRule="atLeast"/>
        </w:trPr>
        <w:tc>
          <w:tcPr>
            <w:tcW w:w="4320" w:type="dxa"/>
            <w:tcBorders/>
          </w:tcPr>
          <w:p>
            <w:pPr>
              <w:pStyle w:val="Normal"/>
              <w:rPr>
                <w:rFonts w:ascii="Arial" w:hAnsi="Arial" w:cs="Arial"/>
                <w:color w:val="000000"/>
                <w:sz w:val="20"/>
              </w:rPr>
            </w:pPr>
            <w:r>
              <w:rPr>
                <w:rFonts w:cs="Arial" w:ascii="Arial" w:hAnsi="Arial"/>
                <w:color w:val="000000"/>
                <w:sz w:val="20"/>
              </w:rPr>
              <w:t>Net Income</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(6,739,488)</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bl>
    <w:p>
      <w:pPr>
        <w:pStyle w:val="Normal"/>
        <w:rPr>
          <w:sz w:val="20"/>
        </w:rPr>
      </w:pPr>
      <w:r>
        <w:br w:type="page"/>
      </w:r>
      <w:r>
        <w:rPr>
          <w:sz w:val="20"/>
        </w:rPr>
      </w:r>
    </w:p>
    <w:tbl>
      <w:tblPr>
        <w:tblW w:w="5365" w:type="dxa"/>
        <w:jc w:val="start"/>
        <w:tblInd w:w="0" w:type="dxa"/>
        <w:tblLayout w:type="fixed"/>
        <w:tblCellMar>
          <w:top w:w="0" w:type="dxa"/>
          <w:start w:w="30" w:type="dxa"/>
          <w:bottom w:w="0" w:type="dxa"/>
          <w:end w:w="30" w:type="dxa"/>
        </w:tblCellMar>
      </w:tblPr>
      <w:tblGrid>
        <w:gridCol w:w="3888"/>
        <w:gridCol w:w="1477"/>
      </w:tblGrid>
      <w:tr>
        <w:trPr>
          <w:trHeight w:val="224" w:hRule="atLeast"/>
        </w:trPr>
        <w:tc>
          <w:tcPr>
            <w:tcW w:w="3888" w:type="dxa"/>
            <w:tcBorders/>
          </w:tcPr>
          <w:p>
            <w:pPr>
              <w:pStyle w:val="Normal"/>
              <w:rPr>
                <w:rFonts w:ascii="Arial" w:hAnsi="Arial" w:cs="Arial"/>
                <w:b/>
                <w:color w:val="000000"/>
                <w:sz w:val="20"/>
              </w:rPr>
            </w:pPr>
            <w:r>
              <w:rPr>
                <w:rFonts w:cs="Arial" w:ascii="Arial" w:hAnsi="Arial"/>
                <w:b/>
                <w:color w:val="000000"/>
                <w:sz w:val="20"/>
              </w:rPr>
              <w:t>ENVERA LLC</w:t>
            </w:r>
          </w:p>
        </w:tc>
        <w:tc>
          <w:tcPr>
            <w:tcW w:w="1477" w:type="dxa"/>
            <w:tcBorders/>
          </w:tcPr>
          <w:p>
            <w:pPr>
              <w:pStyle w:val="Normal"/>
              <w:snapToGrid w:val="false"/>
              <w:jc w:val="end"/>
              <w:rPr>
                <w:rFonts w:ascii="Arial" w:hAnsi="Arial" w:cs="Arial"/>
                <w:b/>
                <w:color w:val="000000"/>
                <w:sz w:val="20"/>
              </w:rPr>
            </w:pPr>
            <w:r>
              <w:rPr>
                <w:rFonts w:cs="Arial" w:ascii="Arial" w:hAnsi="Arial"/>
                <w:b/>
                <w:color w:val="000000"/>
                <w:sz w:val="20"/>
              </w:rPr>
            </w:r>
          </w:p>
        </w:tc>
      </w:tr>
      <w:tr>
        <w:trPr>
          <w:trHeight w:val="224" w:hRule="atLeast"/>
        </w:trPr>
        <w:tc>
          <w:tcPr>
            <w:tcW w:w="5365" w:type="dxa"/>
            <w:gridSpan w:val="2"/>
            <w:tcBorders/>
          </w:tcPr>
          <w:p>
            <w:pPr>
              <w:pStyle w:val="Normal"/>
              <w:rPr>
                <w:rFonts w:ascii="Arial" w:hAnsi="Arial" w:cs="Arial"/>
                <w:b/>
                <w:color w:val="000000"/>
                <w:sz w:val="20"/>
              </w:rPr>
            </w:pPr>
            <w:r>
              <w:rPr>
                <w:rFonts w:cs="Arial" w:ascii="Arial" w:hAnsi="Arial"/>
                <w:b/>
                <w:color w:val="000000"/>
                <w:sz w:val="20"/>
              </w:rPr>
              <w:t>UNAUDITED STATEMENT OF FINANCIAL POSITION</w:t>
            </w:r>
          </w:p>
        </w:tc>
      </w:tr>
      <w:tr>
        <w:trPr>
          <w:trHeight w:val="224" w:hRule="atLeast"/>
        </w:trPr>
        <w:tc>
          <w:tcPr>
            <w:tcW w:w="3888" w:type="dxa"/>
            <w:tcBorders/>
          </w:tcPr>
          <w:p>
            <w:pPr>
              <w:pStyle w:val="Normal"/>
              <w:rPr>
                <w:rFonts w:ascii="Arial" w:hAnsi="Arial" w:cs="Arial"/>
                <w:b/>
                <w:color w:val="000000"/>
                <w:sz w:val="20"/>
              </w:rPr>
            </w:pPr>
            <w:r>
              <w:rPr>
                <w:rFonts w:cs="Arial" w:ascii="Arial" w:hAnsi="Arial"/>
                <w:b/>
                <w:color w:val="000000"/>
                <w:sz w:val="20"/>
              </w:rPr>
              <w:t>AS OF NOVEMBER 30, 2000</w:t>
            </w:r>
          </w:p>
        </w:tc>
        <w:tc>
          <w:tcPr>
            <w:tcW w:w="1477" w:type="dxa"/>
            <w:tcBorders/>
          </w:tcPr>
          <w:p>
            <w:pPr>
              <w:pStyle w:val="Normal"/>
              <w:snapToGrid w:val="false"/>
              <w:jc w:val="end"/>
              <w:rPr>
                <w:rFonts w:ascii="Arial" w:hAnsi="Arial" w:cs="Arial"/>
                <w:b/>
                <w:color w:val="000000"/>
                <w:sz w:val="20"/>
              </w:rPr>
            </w:pPr>
            <w:r>
              <w:rPr>
                <w:rFonts w:cs="Arial" w:ascii="Arial" w:hAnsi="Arial"/>
                <w:b/>
                <w:color w:val="000000"/>
                <w:sz w:val="20"/>
              </w:rPr>
            </w:r>
          </w:p>
        </w:tc>
      </w:tr>
      <w:tr>
        <w:trPr>
          <w:trHeight w:val="224" w:hRule="atLeast"/>
        </w:trPr>
        <w:tc>
          <w:tcPr>
            <w:tcW w:w="3888"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b/>
                <w:color w:val="000000"/>
                <w:sz w:val="20"/>
              </w:rPr>
            </w:pPr>
            <w:r>
              <w:rPr>
                <w:rFonts w:cs="Arial" w:ascii="Arial" w:hAnsi="Arial"/>
                <w:b/>
                <w:color w:val="000000"/>
                <w:sz w:val="20"/>
              </w:rPr>
              <w:t>ASSETS</w:t>
            </w:r>
          </w:p>
        </w:tc>
        <w:tc>
          <w:tcPr>
            <w:tcW w:w="1477" w:type="dxa"/>
            <w:tcBorders/>
          </w:tcPr>
          <w:p>
            <w:pPr>
              <w:pStyle w:val="Normal"/>
              <w:snapToGrid w:val="false"/>
              <w:jc w:val="end"/>
              <w:rPr>
                <w:rFonts w:ascii="Arial" w:hAnsi="Arial" w:cs="Arial"/>
                <w:b/>
                <w:color w:val="000000"/>
                <w:sz w:val="20"/>
              </w:rPr>
            </w:pPr>
            <w:r>
              <w:rPr>
                <w:rFonts w:cs="Arial" w:ascii="Arial" w:hAnsi="Arial"/>
                <w:b/>
                <w:color w:val="000000"/>
                <w:sz w:val="20"/>
              </w:rPr>
            </w:r>
          </w:p>
        </w:tc>
      </w:tr>
      <w:tr>
        <w:trPr>
          <w:trHeight w:val="224" w:hRule="atLeast"/>
        </w:trPr>
        <w:tc>
          <w:tcPr>
            <w:tcW w:w="3888" w:type="dxa"/>
            <w:tcBorders/>
          </w:tcPr>
          <w:p>
            <w:pPr>
              <w:pStyle w:val="Normal"/>
              <w:snapToGrid w:val="false"/>
              <w:jc w:val="center"/>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Current Assets</w:t>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Cash &amp; Cash Equivalents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300,039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Accounts Receivable</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Other Receivables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303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Other Current Assets</w:t>
            </w:r>
          </w:p>
        </w:tc>
        <w:tc>
          <w:tcPr>
            <w:tcW w:w="1477" w:type="dxa"/>
            <w:tcBorders>
              <w:bottom w:val="sing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Total Current Assets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300,343 </w:t>
            </w:r>
          </w:p>
        </w:tc>
      </w:tr>
      <w:tr>
        <w:trPr>
          <w:trHeight w:val="224" w:hRule="atLeast"/>
        </w:trPr>
        <w:tc>
          <w:tcPr>
            <w:tcW w:w="3888" w:type="dxa"/>
            <w:tcBorders/>
          </w:tcPr>
          <w:p>
            <w:pPr>
              <w:pStyle w:val="Normal"/>
              <w:snapToGrid w:val="false"/>
              <w:jc w:val="center"/>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Property &amp; Equipment</w:t>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Gross Property &amp; Equipment</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5,870,650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Accum. Depreciation &amp; Amortization</w:t>
            </w:r>
          </w:p>
        </w:tc>
        <w:tc>
          <w:tcPr>
            <w:tcW w:w="1477" w:type="dxa"/>
            <w:tcBorders>
              <w:bottom w:val="sing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(316,972)</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Net Property &amp; Equipment</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5,553,677 </w:t>
            </w:r>
          </w:p>
        </w:tc>
      </w:tr>
      <w:tr>
        <w:trPr>
          <w:trHeight w:val="224" w:hRule="atLeast"/>
        </w:trPr>
        <w:tc>
          <w:tcPr>
            <w:tcW w:w="3888" w:type="dxa"/>
            <w:tcBorders/>
          </w:tcPr>
          <w:p>
            <w:pPr>
              <w:pStyle w:val="Normal"/>
              <w:snapToGrid w:val="false"/>
              <w:jc w:val="center"/>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Other Assets</w:t>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Patents/Trademarks, Net</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4,722,222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Other Assets</w:t>
            </w:r>
          </w:p>
        </w:tc>
        <w:tc>
          <w:tcPr>
            <w:tcW w:w="1477" w:type="dxa"/>
            <w:tcBorders>
              <w:bottom w:val="sing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Total Other Assets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4,722,222 </w:t>
            </w:r>
          </w:p>
        </w:tc>
      </w:tr>
      <w:tr>
        <w:trPr>
          <w:trHeight w:val="224" w:hRule="atLeast"/>
        </w:trPr>
        <w:tc>
          <w:tcPr>
            <w:tcW w:w="3888" w:type="dxa"/>
            <w:tcBorders/>
          </w:tcPr>
          <w:p>
            <w:pPr>
              <w:pStyle w:val="Normal"/>
              <w:snapToGrid w:val="false"/>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38" w:hRule="atLeast"/>
        </w:trPr>
        <w:tc>
          <w:tcPr>
            <w:tcW w:w="3888" w:type="dxa"/>
            <w:tcBorders/>
          </w:tcPr>
          <w:p>
            <w:pPr>
              <w:pStyle w:val="Normal"/>
              <w:rPr>
                <w:rFonts w:ascii="Arial" w:hAnsi="Arial" w:cs="Arial"/>
                <w:color w:val="000000"/>
                <w:sz w:val="20"/>
              </w:rPr>
            </w:pPr>
            <w:r>
              <w:rPr>
                <w:rFonts w:cs="Arial" w:ascii="Arial" w:hAnsi="Arial"/>
                <w:color w:val="000000"/>
                <w:sz w:val="20"/>
              </w:rPr>
              <w:t>Total Assets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10,576,242 </w:t>
            </w:r>
          </w:p>
        </w:tc>
      </w:tr>
      <w:tr>
        <w:trPr>
          <w:trHeight w:val="238" w:hRule="atLeast"/>
        </w:trPr>
        <w:tc>
          <w:tcPr>
            <w:tcW w:w="3888" w:type="dxa"/>
            <w:tcBorders/>
          </w:tcPr>
          <w:p>
            <w:pPr>
              <w:pStyle w:val="Normal"/>
              <w:snapToGrid w:val="false"/>
              <w:rPr>
                <w:rFonts w:ascii="Arial" w:hAnsi="Arial" w:cs="Arial"/>
                <w:color w:val="000000"/>
                <w:sz w:val="20"/>
              </w:rPr>
            </w:pPr>
            <w:r>
              <w:rPr>
                <w:rFonts w:cs="Arial" w:ascii="Arial" w:hAnsi="Arial"/>
                <w:color w:val="000000"/>
                <w:sz w:val="20"/>
              </w:rPr>
            </w:r>
          </w:p>
        </w:tc>
        <w:tc>
          <w:tcPr>
            <w:tcW w:w="1477" w:type="dxa"/>
            <w:tcBorders>
              <w:top w:val="doub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snapToGrid w:val="false"/>
              <w:jc w:val="center"/>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b/>
                <w:color w:val="000000"/>
                <w:sz w:val="20"/>
              </w:rPr>
            </w:pPr>
            <w:r>
              <w:rPr>
                <w:rFonts w:cs="Arial" w:ascii="Arial" w:hAnsi="Arial"/>
                <w:b/>
                <w:color w:val="000000"/>
                <w:sz w:val="20"/>
              </w:rPr>
              <w:t>LIABILITIES AND CAPITAL</w:t>
            </w:r>
          </w:p>
        </w:tc>
        <w:tc>
          <w:tcPr>
            <w:tcW w:w="1477" w:type="dxa"/>
            <w:tcBorders/>
          </w:tcPr>
          <w:p>
            <w:pPr>
              <w:pStyle w:val="Normal"/>
              <w:snapToGrid w:val="false"/>
              <w:jc w:val="end"/>
              <w:rPr>
                <w:rFonts w:ascii="Arial" w:hAnsi="Arial" w:cs="Arial"/>
                <w:b/>
                <w:color w:val="000000"/>
                <w:sz w:val="20"/>
              </w:rPr>
            </w:pPr>
            <w:r>
              <w:rPr>
                <w:rFonts w:cs="Arial" w:ascii="Arial" w:hAnsi="Arial"/>
                <w:b/>
                <w:color w:val="000000"/>
                <w:sz w:val="20"/>
              </w:rPr>
            </w:r>
          </w:p>
        </w:tc>
      </w:tr>
      <w:tr>
        <w:trPr>
          <w:trHeight w:val="224" w:hRule="atLeast"/>
        </w:trPr>
        <w:tc>
          <w:tcPr>
            <w:tcW w:w="3888" w:type="dxa"/>
            <w:tcBorders/>
          </w:tcPr>
          <w:p>
            <w:pPr>
              <w:pStyle w:val="Normal"/>
              <w:snapToGrid w:val="false"/>
              <w:jc w:val="center"/>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Current Liabilities</w:t>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Accounts Payable</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323,730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Other Payables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Accrued Expenses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92,000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Deferred Revenue</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Other Current Liabilities</w:t>
            </w:r>
          </w:p>
        </w:tc>
        <w:tc>
          <w:tcPr>
            <w:tcW w:w="1477" w:type="dxa"/>
            <w:tcBorders>
              <w:bottom w:val="sing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Total Current Liabilities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415,730 </w:t>
            </w:r>
          </w:p>
        </w:tc>
      </w:tr>
      <w:tr>
        <w:trPr>
          <w:trHeight w:val="224" w:hRule="atLeast"/>
        </w:trPr>
        <w:tc>
          <w:tcPr>
            <w:tcW w:w="3888" w:type="dxa"/>
            <w:tcBorders/>
          </w:tcPr>
          <w:p>
            <w:pPr>
              <w:pStyle w:val="Normal"/>
              <w:snapToGrid w:val="false"/>
              <w:jc w:val="center"/>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Long-Term Liabilities</w:t>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Other LT Liabilities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Other Deferred Credits</w:t>
            </w:r>
          </w:p>
        </w:tc>
        <w:tc>
          <w:tcPr>
            <w:tcW w:w="1477" w:type="dxa"/>
            <w:tcBorders>
              <w:bottom w:val="sing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Total Long-Term Liabilities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r>
      <w:tr>
        <w:trPr>
          <w:trHeight w:val="224" w:hRule="atLeast"/>
        </w:trPr>
        <w:tc>
          <w:tcPr>
            <w:tcW w:w="3888" w:type="dxa"/>
            <w:tcBorders/>
          </w:tcPr>
          <w:p>
            <w:pPr>
              <w:pStyle w:val="Normal"/>
              <w:snapToGrid w:val="false"/>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Total Liabilities</w:t>
            </w:r>
          </w:p>
        </w:tc>
        <w:tc>
          <w:tcPr>
            <w:tcW w:w="1477" w:type="dxa"/>
            <w:tcBorders>
              <w:top w:val="single" w:sz="6" w:space="0" w:color="000000"/>
              <w:bottom w:val="sing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415,730 </w:t>
            </w:r>
          </w:p>
        </w:tc>
      </w:tr>
      <w:tr>
        <w:trPr>
          <w:trHeight w:val="224" w:hRule="atLeast"/>
        </w:trPr>
        <w:tc>
          <w:tcPr>
            <w:tcW w:w="3888" w:type="dxa"/>
            <w:tcBorders/>
          </w:tcPr>
          <w:p>
            <w:pPr>
              <w:pStyle w:val="Normal"/>
              <w:snapToGrid w:val="false"/>
              <w:jc w:val="center"/>
              <w:rPr>
                <w:rFonts w:ascii="Arial" w:hAnsi="Arial" w:cs="Arial"/>
                <w:color w:val="000000"/>
                <w:sz w:val="20"/>
              </w:rPr>
            </w:pPr>
            <w:r>
              <w:rPr>
                <w:rFonts w:cs="Arial" w:ascii="Arial" w:hAnsi="Arial"/>
                <w:color w:val="000000"/>
                <w:sz w:val="20"/>
              </w:rPr>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Capital</w:t>
            </w:r>
          </w:p>
        </w:tc>
        <w:tc>
          <w:tcPr>
            <w:tcW w:w="147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Member Capital Contributions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28,700,000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Contra - Capital Contributions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(11,800,000)</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Member Distributions</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Net Income</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(6,739,488)</w:t>
            </w:r>
          </w:p>
        </w:tc>
      </w:tr>
      <w:tr>
        <w:trPr>
          <w:trHeight w:val="224" w:hRule="atLeast"/>
        </w:trPr>
        <w:tc>
          <w:tcPr>
            <w:tcW w:w="3888" w:type="dxa"/>
            <w:tcBorders/>
          </w:tcPr>
          <w:p>
            <w:pPr>
              <w:pStyle w:val="Normal"/>
              <w:rPr>
                <w:rFonts w:ascii="Arial" w:hAnsi="Arial" w:cs="Arial"/>
                <w:color w:val="000000"/>
                <w:sz w:val="20"/>
              </w:rPr>
            </w:pPr>
            <w:r>
              <w:rPr>
                <w:rFonts w:cs="Arial" w:ascii="Arial" w:hAnsi="Arial"/>
                <w:color w:val="000000"/>
                <w:sz w:val="20"/>
              </w:rPr>
              <w:t>Total Capital</w:t>
            </w:r>
          </w:p>
        </w:tc>
        <w:tc>
          <w:tcPr>
            <w:tcW w:w="1477" w:type="dxa"/>
            <w:tcBorders>
              <w:top w:val="single" w:sz="6" w:space="0" w:color="000000"/>
              <w:bottom w:val="sing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10,160,512 </w:t>
            </w:r>
          </w:p>
        </w:tc>
      </w:tr>
      <w:tr>
        <w:trPr>
          <w:trHeight w:val="224" w:hRule="atLeast"/>
        </w:trPr>
        <w:tc>
          <w:tcPr>
            <w:tcW w:w="3888" w:type="dxa"/>
            <w:tcBorders/>
          </w:tcPr>
          <w:p>
            <w:pPr>
              <w:pStyle w:val="Normal"/>
              <w:snapToGrid w:val="false"/>
              <w:rPr>
                <w:rFonts w:ascii="Arial" w:hAnsi="Arial" w:cs="Arial"/>
                <w:color w:val="000000"/>
                <w:sz w:val="20"/>
              </w:rPr>
            </w:pPr>
            <w:r>
              <w:rPr>
                <w:rFonts w:cs="Arial" w:ascii="Arial" w:hAnsi="Arial"/>
                <w:color w:val="000000"/>
                <w:sz w:val="20"/>
              </w:rPr>
            </w:r>
          </w:p>
        </w:tc>
        <w:tc>
          <w:tcPr>
            <w:tcW w:w="1477" w:type="dxa"/>
            <w:tcBorders>
              <w:top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38" w:hRule="atLeast"/>
        </w:trPr>
        <w:tc>
          <w:tcPr>
            <w:tcW w:w="3888" w:type="dxa"/>
            <w:tcBorders/>
          </w:tcPr>
          <w:p>
            <w:pPr>
              <w:pStyle w:val="Normal"/>
              <w:rPr>
                <w:rFonts w:ascii="Arial" w:hAnsi="Arial" w:cs="Arial"/>
                <w:color w:val="000000"/>
                <w:sz w:val="20"/>
              </w:rPr>
            </w:pPr>
            <w:r>
              <w:rPr>
                <w:rFonts w:cs="Arial" w:ascii="Arial" w:hAnsi="Arial"/>
                <w:color w:val="000000"/>
                <w:sz w:val="20"/>
              </w:rPr>
              <w:t>Total Liabilities &amp; Capital</w:t>
            </w:r>
          </w:p>
        </w:tc>
        <w:tc>
          <w:tcPr>
            <w:tcW w:w="1477"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10,576,242 </w:t>
            </w:r>
          </w:p>
        </w:tc>
      </w:tr>
    </w:tbl>
    <w:p>
      <w:pPr>
        <w:pStyle w:val="Normal"/>
        <w:rPr/>
      </w:pPr>
      <w:r>
        <w:rPr/>
      </w:r>
      <w:r>
        <w:br w:type="page"/>
      </w:r>
    </w:p>
    <w:p>
      <w:pPr>
        <w:pStyle w:val="Normal"/>
        <w:rPr/>
      </w:pPr>
      <w:r>
        <w:rPr/>
      </w:r>
    </w:p>
    <w:tbl>
      <w:tblPr>
        <w:tblW w:w="7397" w:type="dxa"/>
        <w:jc w:val="start"/>
        <w:tblInd w:w="0" w:type="dxa"/>
        <w:tblLayout w:type="fixed"/>
        <w:tblCellMar>
          <w:top w:w="0" w:type="dxa"/>
          <w:start w:w="30" w:type="dxa"/>
          <w:bottom w:w="0" w:type="dxa"/>
          <w:end w:w="30" w:type="dxa"/>
        </w:tblCellMar>
      </w:tblPr>
      <w:tblGrid>
        <w:gridCol w:w="4735"/>
        <w:gridCol w:w="1642"/>
        <w:gridCol w:w="1020"/>
      </w:tblGrid>
      <w:tr>
        <w:trPr>
          <w:trHeight w:val="250" w:hRule="atLeast"/>
        </w:trPr>
        <w:tc>
          <w:tcPr>
            <w:tcW w:w="4735" w:type="dxa"/>
            <w:tcBorders/>
          </w:tcPr>
          <w:p>
            <w:pPr>
              <w:pStyle w:val="Normal"/>
              <w:rPr>
                <w:rFonts w:ascii="Arial" w:hAnsi="Arial" w:cs="Arial"/>
                <w:b/>
                <w:color w:val="000000"/>
                <w:sz w:val="20"/>
              </w:rPr>
            </w:pPr>
            <w:r>
              <w:rPr>
                <w:rFonts w:cs="Arial" w:ascii="Arial" w:hAnsi="Arial"/>
                <w:b/>
                <w:color w:val="000000"/>
                <w:sz w:val="20"/>
              </w:rPr>
              <w:t>ENVERA LLC</w:t>
            </w:r>
          </w:p>
        </w:tc>
        <w:tc>
          <w:tcPr>
            <w:tcW w:w="1642"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b/>
                <w:color w:val="000000"/>
                <w:sz w:val="20"/>
              </w:rPr>
            </w:pPr>
            <w:r>
              <w:rPr>
                <w:rFonts w:cs="Arial" w:ascii="Arial" w:hAnsi="Arial"/>
                <w:b/>
                <w:color w:val="000000"/>
                <w:sz w:val="20"/>
              </w:rPr>
              <w:t>UNAUDITED STATEMENT OF CASH FLOWS</w:t>
            </w:r>
          </w:p>
        </w:tc>
        <w:tc>
          <w:tcPr>
            <w:tcW w:w="1642"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7397" w:type="dxa"/>
            <w:gridSpan w:val="3"/>
            <w:tcBorders/>
          </w:tcPr>
          <w:p>
            <w:pPr>
              <w:pStyle w:val="Normal"/>
              <w:rPr>
                <w:rFonts w:ascii="Arial" w:hAnsi="Arial" w:cs="Arial"/>
                <w:b/>
                <w:color w:val="000000"/>
                <w:sz w:val="20"/>
              </w:rPr>
            </w:pPr>
            <w:r>
              <w:rPr>
                <w:rFonts w:cs="Arial" w:ascii="Arial" w:hAnsi="Arial"/>
                <w:b/>
                <w:color w:val="000000"/>
                <w:sz w:val="20"/>
              </w:rPr>
              <w:t>FOR THE PERIOD FROM INCEPTION THROUGH NOVEMBER 30, 2000</w:t>
            </w:r>
          </w:p>
        </w:tc>
      </w:tr>
      <w:tr>
        <w:trPr>
          <w:trHeight w:val="250" w:hRule="atLeast"/>
        </w:trPr>
        <w:tc>
          <w:tcPr>
            <w:tcW w:w="4735"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snapToGrid w:val="false"/>
              <w:jc w:val="center"/>
              <w:rPr>
                <w:rFonts w:ascii="Arial" w:hAnsi="Arial" w:cs="Arial"/>
                <w:color w:val="000000"/>
                <w:sz w:val="20"/>
              </w:rPr>
            </w:pPr>
            <w:r>
              <w:rPr>
                <w:rFonts w:cs="Arial" w:ascii="Arial" w:hAnsi="Arial"/>
                <w:color w:val="000000"/>
                <w:sz w:val="20"/>
              </w:rPr>
            </w:r>
          </w:p>
        </w:tc>
        <w:tc>
          <w:tcPr>
            <w:tcW w:w="1642" w:type="dxa"/>
            <w:tcBorders>
              <w:bottom w:val="single" w:sz="6" w:space="0" w:color="000000"/>
            </w:tcBorders>
          </w:tcPr>
          <w:p>
            <w:pPr>
              <w:pStyle w:val="Normal"/>
              <w:jc w:val="center"/>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 xml:space="preserve">Year to Date </w:t>
            </w:r>
          </w:p>
        </w:tc>
        <w:tc>
          <w:tcPr>
            <w:tcW w:w="1020" w:type="dxa"/>
            <w:tcBorders/>
          </w:tcPr>
          <w:p>
            <w:pPr>
              <w:pStyle w:val="Normal"/>
              <w:snapToGrid w:val="false"/>
              <w:jc w:val="end"/>
              <w:rPr>
                <w:rFonts w:ascii="Arial" w:hAnsi="Arial" w:cs="Arial"/>
                <w:b/>
                <w:color w:val="000000"/>
                <w:sz w:val="20"/>
              </w:rPr>
            </w:pPr>
            <w:r>
              <w:rPr>
                <w:rFonts w:cs="Arial" w:ascii="Arial" w:hAnsi="Arial"/>
                <w:b/>
                <w:color w:val="000000"/>
                <w:sz w:val="20"/>
              </w:rPr>
            </w:r>
          </w:p>
        </w:tc>
      </w:tr>
      <w:tr>
        <w:trPr>
          <w:trHeight w:val="250" w:hRule="atLeast"/>
        </w:trPr>
        <w:tc>
          <w:tcPr>
            <w:tcW w:w="4735" w:type="dxa"/>
            <w:tcBorders/>
          </w:tcPr>
          <w:p>
            <w:pPr>
              <w:pStyle w:val="Normal"/>
              <w:rPr>
                <w:rFonts w:ascii="Arial" w:hAnsi="Arial" w:cs="Arial"/>
                <w:b/>
                <w:color w:val="000000"/>
                <w:sz w:val="20"/>
              </w:rPr>
            </w:pPr>
            <w:r>
              <w:rPr>
                <w:rFonts w:cs="Arial" w:ascii="Arial" w:hAnsi="Arial"/>
                <w:b/>
                <w:color w:val="000000"/>
                <w:sz w:val="20"/>
              </w:rPr>
              <w:t>Operating Activities:</w:t>
            </w:r>
          </w:p>
        </w:tc>
        <w:tc>
          <w:tcPr>
            <w:tcW w:w="1642"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Net Loss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(6,739,488)</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Depreciation &amp; Amortization</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594,750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Changes in operating assets and liabilities:</w:t>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Accounts Receivable</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Other Receivables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(303)</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Other Current Assets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Accounts Payable</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323,730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Other Payables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Accrued Expenses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92,000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Deferred Revenues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Other Current Liabilities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Net cash used in operating activities</w:t>
            </w:r>
          </w:p>
        </w:tc>
        <w:tc>
          <w:tcPr>
            <w:tcW w:w="1642" w:type="dxa"/>
            <w:tcBorders>
              <w:top w:val="single" w:sz="6" w:space="0" w:color="000000"/>
              <w:bottom w:val="sing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(5,729,311)</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b/>
                <w:color w:val="000000"/>
                <w:sz w:val="20"/>
              </w:rPr>
            </w:pPr>
            <w:r>
              <w:rPr>
                <w:rFonts w:cs="Arial" w:ascii="Arial" w:hAnsi="Arial"/>
                <w:b/>
                <w:color w:val="000000"/>
                <w:sz w:val="20"/>
              </w:rPr>
              <w:t>Investing Activities:</w:t>
            </w:r>
          </w:p>
        </w:tc>
        <w:tc>
          <w:tcPr>
            <w:tcW w:w="1642"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Purchases of property and equipment</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(5,870,650)</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Net cash used in investing activities</w:t>
            </w:r>
          </w:p>
        </w:tc>
        <w:tc>
          <w:tcPr>
            <w:tcW w:w="1642" w:type="dxa"/>
            <w:tcBorders>
              <w:top w:val="single" w:sz="6" w:space="0" w:color="000000"/>
              <w:bottom w:val="sing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(5,870,650)</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b/>
                <w:color w:val="000000"/>
                <w:sz w:val="20"/>
              </w:rPr>
            </w:pPr>
            <w:r>
              <w:rPr>
                <w:rFonts w:cs="Arial" w:ascii="Arial" w:hAnsi="Arial"/>
                <w:b/>
                <w:color w:val="000000"/>
                <w:sz w:val="20"/>
              </w:rPr>
              <w:t>Financing Activities:</w:t>
            </w:r>
          </w:p>
        </w:tc>
        <w:tc>
          <w:tcPr>
            <w:tcW w:w="1642"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Proceeds from equity investors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11,900,000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Net cash provided by financing activities</w:t>
            </w:r>
          </w:p>
        </w:tc>
        <w:tc>
          <w:tcPr>
            <w:tcW w:w="1642" w:type="dxa"/>
            <w:tcBorders>
              <w:top w:val="single" w:sz="6" w:space="0" w:color="000000"/>
              <w:bottom w:val="sing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11,900,000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64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Net increase in cash and cash equivalents</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300,039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50" w:hRule="atLeast"/>
        </w:trPr>
        <w:tc>
          <w:tcPr>
            <w:tcW w:w="4735" w:type="dxa"/>
            <w:tcBorders/>
          </w:tcPr>
          <w:p>
            <w:pPr>
              <w:pStyle w:val="Normal"/>
              <w:rPr>
                <w:rFonts w:ascii="Arial" w:hAnsi="Arial" w:cs="Arial"/>
                <w:color w:val="000000"/>
                <w:sz w:val="20"/>
              </w:rPr>
            </w:pPr>
            <w:r>
              <w:rPr>
                <w:rFonts w:cs="Arial" w:ascii="Arial" w:hAnsi="Arial"/>
                <w:color w:val="000000"/>
                <w:sz w:val="20"/>
              </w:rPr>
              <w:t>Cash and cash equivalents at beginning of period</w:t>
            </w:r>
          </w:p>
        </w:tc>
        <w:tc>
          <w:tcPr>
            <w:tcW w:w="1642" w:type="dxa"/>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64" w:hRule="atLeast"/>
        </w:trPr>
        <w:tc>
          <w:tcPr>
            <w:tcW w:w="4735" w:type="dxa"/>
            <w:tcBorders/>
          </w:tcPr>
          <w:p>
            <w:pPr>
              <w:pStyle w:val="Normal"/>
              <w:rPr>
                <w:rFonts w:ascii="Arial" w:hAnsi="Arial" w:cs="Arial"/>
                <w:color w:val="000000"/>
                <w:sz w:val="20"/>
              </w:rPr>
            </w:pPr>
            <w:r>
              <w:rPr>
                <w:rFonts w:cs="Arial" w:ascii="Arial" w:hAnsi="Arial"/>
                <w:color w:val="000000"/>
                <w:sz w:val="20"/>
              </w:rPr>
              <w:t>Cash and cash equivalents at end of period</w:t>
            </w:r>
          </w:p>
        </w:tc>
        <w:tc>
          <w:tcPr>
            <w:tcW w:w="1642" w:type="dxa"/>
            <w:tcBorders>
              <w:bottom w:val="double" w:sz="6" w:space="0" w:color="000000"/>
            </w:tcBorders>
          </w:tcPr>
          <w:p>
            <w:pPr>
              <w:pStyle w:val="Normal"/>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300,039 </w:t>
            </w:r>
          </w:p>
        </w:tc>
        <w:tc>
          <w:tcPr>
            <w:tcW w:w="1020" w:type="dxa"/>
            <w:tcBorders/>
          </w:tcPr>
          <w:p>
            <w:pPr>
              <w:pStyle w:val="Normal"/>
              <w:snapToGrid w:val="false"/>
              <w:jc w:val="end"/>
              <w:rPr>
                <w:rFonts w:ascii="Arial" w:hAnsi="Arial" w:cs="Arial"/>
                <w:color w:val="000000"/>
                <w:sz w:val="20"/>
              </w:rPr>
            </w:pPr>
            <w:r>
              <w:rPr>
                <w:rFonts w:cs="Arial" w:ascii="Arial" w:hAnsi="Arial"/>
                <w:color w:val="000000"/>
                <w:sz w:val="20"/>
              </w:rPr>
            </w:r>
          </w:p>
        </w:tc>
      </w:tr>
    </w:tbl>
    <w:p>
      <w:pPr>
        <w:pStyle w:val="Normal"/>
        <w:rPr/>
      </w:pPr>
      <w:r>
        <w:rPr/>
      </w:r>
      <w:r>
        <w:br w:type="page"/>
      </w:r>
    </w:p>
    <w:p>
      <w:pPr>
        <w:pStyle w:val="Normal"/>
        <w:jc w:val="center"/>
        <w:rPr>
          <w:b/>
        </w:rPr>
      </w:pPr>
      <w:r>
        <w:rPr>
          <w:b/>
        </w:rPr>
        <w:t>SCHEDULE 3.10</w:t>
      </w:r>
    </w:p>
    <w:p>
      <w:pPr>
        <w:pStyle w:val="Normal"/>
        <w:jc w:val="center"/>
        <w:rPr>
          <w:b/>
        </w:rPr>
      </w:pPr>
      <w:r>
        <w:rPr>
          <w:b/>
        </w:rPr>
        <w:t>ABSENCE OF UNDISCLOSED LIABILITIES; NO DEFAULT</w:t>
      </w:r>
    </w:p>
    <w:p>
      <w:pPr>
        <w:pStyle w:val="Normal"/>
        <w:jc w:val="center"/>
        <w:rPr>
          <w:b/>
        </w:rPr>
      </w:pPr>
      <w:r>
        <w:rPr>
          <w:b/>
        </w:rPr>
      </w:r>
    </w:p>
    <w:p>
      <w:pPr>
        <w:pStyle w:val="Normal"/>
        <w:rPr/>
      </w:pPr>
      <w:r>
        <w:rPr/>
        <w:t>None.</w:t>
      </w:r>
    </w:p>
    <w:p>
      <w:pPr>
        <w:pStyle w:val="Normal"/>
        <w:rPr/>
      </w:pPr>
      <w:r>
        <w:rPr/>
      </w:r>
      <w:r>
        <w:br w:type="page"/>
      </w:r>
    </w:p>
    <w:p>
      <w:pPr>
        <w:pStyle w:val="Normal"/>
        <w:jc w:val="center"/>
        <w:rPr>
          <w:b/>
        </w:rPr>
      </w:pPr>
      <w:r>
        <w:rPr>
          <w:b/>
        </w:rPr>
        <w:t>SCHEDULE 3.12</w:t>
      </w:r>
    </w:p>
    <w:p>
      <w:pPr>
        <w:pStyle w:val="Normal"/>
        <w:jc w:val="center"/>
        <w:rPr>
          <w:b/>
        </w:rPr>
      </w:pPr>
      <w:r>
        <w:rPr>
          <w:b/>
        </w:rPr>
        <w:t>TAXES</w:t>
      </w:r>
    </w:p>
    <w:p>
      <w:pPr>
        <w:pStyle w:val="Normal"/>
        <w:jc w:val="center"/>
        <w:rPr>
          <w:b/>
        </w:rPr>
      </w:pPr>
      <w:r>
        <w:rPr>
          <w:b/>
        </w:rPr>
      </w:r>
    </w:p>
    <w:p>
      <w:pPr>
        <w:pStyle w:val="Normal"/>
        <w:rPr/>
      </w:pPr>
      <w:r>
        <w:rPr/>
        <w:t>(a)</w:t>
        <w:tab/>
        <w:t>There is a possibility that Envera may have missed some sales and use tax deadlines as they are normally filed on a monthly basis and Envera has registered, but not yet received, its ID # for such filings.  It is not clear that these filings are past-due, and in any event they are immaterial.</w:t>
      </w:r>
    </w:p>
    <w:p>
      <w:pPr>
        <w:pStyle w:val="Normal"/>
        <w:rPr/>
      </w:pPr>
      <w:r>
        <w:rPr/>
      </w:r>
    </w:p>
    <w:p>
      <w:pPr>
        <w:pStyle w:val="Normal"/>
        <w:rPr/>
      </w:pPr>
      <w:r>
        <w:rPr/>
        <w:t>(f)</w:t>
        <w:tab/>
        <w:t>Prior to July 20, 2000, Envera was a single-member limited liability company owned by Ethyl Corporation.  On July 20, 2000, the initial members of Envera contributed their initial capital contributions to Envera in exchange for Envera membership interests and Envera ceased to be a member of the Ethyl Corporation consolidated group.</w:t>
      </w:r>
    </w:p>
    <w:p>
      <w:pPr>
        <w:pStyle w:val="Normal"/>
        <w:rPr/>
      </w:pPr>
      <w:r>
        <w:rPr/>
      </w:r>
    </w:p>
    <w:p>
      <w:pPr>
        <w:pStyle w:val="Normal"/>
        <w:rPr/>
      </w:pPr>
      <w:r>
        <w:rPr/>
      </w:r>
      <w:r>
        <w:br w:type="page"/>
      </w:r>
    </w:p>
    <w:p>
      <w:pPr>
        <w:pStyle w:val="Normal"/>
        <w:jc w:val="center"/>
        <w:rPr>
          <w:b/>
        </w:rPr>
      </w:pPr>
      <w:r>
        <w:rPr>
          <w:b/>
        </w:rPr>
        <w:t>SCHEDULE 3.13</w:t>
      </w:r>
    </w:p>
    <w:p>
      <w:pPr>
        <w:pStyle w:val="Normal"/>
        <w:jc w:val="center"/>
        <w:rPr>
          <w:b/>
        </w:rPr>
      </w:pPr>
      <w:r>
        <w:rPr>
          <w:b/>
        </w:rPr>
        <w:t>INTELLECTUAL PROPERTY</w:t>
      </w:r>
    </w:p>
    <w:p>
      <w:pPr>
        <w:pStyle w:val="Normal"/>
        <w:jc w:val="center"/>
        <w:rPr>
          <w:b/>
        </w:rPr>
      </w:pPr>
      <w:r>
        <w:rPr>
          <w:b/>
        </w:rPr>
      </w:r>
    </w:p>
    <w:p>
      <w:pPr>
        <w:pStyle w:val="Normal"/>
        <w:rPr/>
      </w:pPr>
      <w:r>
        <w:rPr/>
        <w:t>License fees have been paid to Oracle and WebMethods.  No ongoing royalties or license fees are payable to Oracle or WebMethods, but there are on going maintenance fees on a time and materials basis payable to Oracle and WebMethods.</w:t>
      </w:r>
    </w:p>
    <w:p>
      <w:pPr>
        <w:pStyle w:val="Normal"/>
        <w:rPr/>
      </w:pPr>
      <w:r>
        <w:rPr/>
      </w:r>
    </w:p>
    <w:p>
      <w:pPr>
        <w:pStyle w:val="Normal"/>
        <w:rPr/>
      </w:pPr>
      <w:r>
        <w:rPr/>
      </w:r>
    </w:p>
    <w:p>
      <w:pPr>
        <w:pStyle w:val="Normal"/>
        <w:rPr/>
      </w:pPr>
      <w:r>
        <w:rPr/>
      </w:r>
    </w:p>
    <w:p>
      <w:pPr>
        <w:pStyle w:val="Normal"/>
        <w:rPr/>
      </w:pPr>
      <w:r>
        <w:rPr/>
        <w:t xml:space="preserve">  </w:t>
      </w:r>
      <w:r>
        <w:br w:type="page"/>
      </w:r>
    </w:p>
    <w:p>
      <w:pPr>
        <w:pStyle w:val="Normal"/>
        <w:jc w:val="center"/>
        <w:rPr>
          <w:b/>
        </w:rPr>
      </w:pPr>
      <w:r>
        <w:rPr>
          <w:b/>
        </w:rPr>
        <w:t>SCHEDULE 3.15</w:t>
      </w:r>
    </w:p>
    <w:p>
      <w:pPr>
        <w:pStyle w:val="Normal"/>
        <w:jc w:val="center"/>
        <w:rPr>
          <w:b/>
        </w:rPr>
      </w:pPr>
      <w:r>
        <w:rPr>
          <w:b/>
        </w:rPr>
        <w:t>MATERIAL CONTRACTS AND OBLIGATIONS</w:t>
      </w:r>
    </w:p>
    <w:p>
      <w:pPr>
        <w:pStyle w:val="Normal"/>
        <w:jc w:val="center"/>
        <w:rPr>
          <w:b/>
        </w:rPr>
      </w:pPr>
      <w:r>
        <w:rPr>
          <w:b/>
        </w:rPr>
      </w:r>
    </w:p>
    <w:p>
      <w:pPr>
        <w:sectPr>
          <w:type w:val="nextPage"/>
          <w:pgSz w:w="12240" w:h="15840"/>
          <w:pgMar w:left="1440" w:right="1440" w:gutter="0" w:header="0" w:top="1440" w:footer="0" w:bottom="1440"/>
          <w:pgNumType w:fmt="decimal"/>
          <w:formProt w:val="false"/>
          <w:titlePg/>
          <w:textDirection w:val="lrTb"/>
          <w:docGrid w:type="default" w:linePitch="360" w:charSpace="0"/>
        </w:sectPr>
        <w:pStyle w:val="Normal"/>
        <w:rPr/>
      </w:pPr>
      <w:r>
        <w:rPr/>
        <w:t>Attached.</w:t>
      </w:r>
    </w:p>
    <w:p>
      <w:pPr>
        <w:pStyle w:val="Normal"/>
        <w:rPr/>
      </w:pPr>
      <w:r>
        <w:rPr/>
      </w:r>
    </w:p>
    <w:tbl>
      <w:tblPr>
        <w:tblW w:w="12880" w:type="dxa"/>
        <w:jc w:val="start"/>
        <w:tblInd w:w="0" w:type="dxa"/>
        <w:tblLayout w:type="fixed"/>
        <w:tblCellMar>
          <w:top w:w="0" w:type="dxa"/>
          <w:start w:w="30" w:type="dxa"/>
          <w:bottom w:w="0" w:type="dxa"/>
          <w:end w:w="30" w:type="dxa"/>
        </w:tblCellMar>
      </w:tblPr>
      <w:tblGrid>
        <w:gridCol w:w="3368"/>
        <w:gridCol w:w="1882"/>
        <w:gridCol w:w="2340"/>
        <w:gridCol w:w="2263"/>
        <w:gridCol w:w="3027"/>
      </w:tblGrid>
      <w:tr>
        <w:trPr>
          <w:trHeight w:val="190" w:hRule="atLeast"/>
        </w:trPr>
        <w:tc>
          <w:tcPr>
            <w:tcW w:w="3368" w:type="dxa"/>
            <w:tcBorders/>
          </w:tcPr>
          <w:p>
            <w:pPr>
              <w:pStyle w:val="Normal"/>
              <w:rPr>
                <w:rFonts w:ascii="Arial" w:hAnsi="Arial" w:cs="Arial"/>
                <w:b/>
                <w:color w:val="000000"/>
                <w:sz w:val="20"/>
              </w:rPr>
            </w:pPr>
            <w:r>
              <w:rPr>
                <w:rFonts w:cs="Arial" w:ascii="Arial" w:hAnsi="Arial"/>
                <w:b/>
                <w:color w:val="000000"/>
                <w:sz w:val="20"/>
              </w:rPr>
              <w:t>ENVERA LLC</w:t>
            </w:r>
          </w:p>
        </w:tc>
        <w:tc>
          <w:tcPr>
            <w:tcW w:w="1882"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2340"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cPr>
          <w:p>
            <w:pPr>
              <w:pStyle w:val="Normal"/>
              <w:rPr>
                <w:rFonts w:ascii="Arial" w:hAnsi="Arial" w:cs="Arial"/>
                <w:b/>
                <w:color w:val="000000"/>
                <w:sz w:val="20"/>
              </w:rPr>
            </w:pPr>
            <w:r>
              <w:rPr>
                <w:rFonts w:cs="Arial" w:ascii="Arial" w:hAnsi="Arial"/>
                <w:b/>
                <w:color w:val="000000"/>
                <w:sz w:val="20"/>
              </w:rPr>
              <w:t>LIST OF CONTRACTS</w:t>
            </w:r>
          </w:p>
        </w:tc>
        <w:tc>
          <w:tcPr>
            <w:tcW w:w="1882"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2340"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88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2340"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88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2340"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882"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2340"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12" w:space="0" w:color="000000"/>
              <w:start w:val="single" w:sz="12"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Contract type/name</w:t>
            </w:r>
          </w:p>
        </w:tc>
        <w:tc>
          <w:tcPr>
            <w:tcW w:w="1882"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Legal Parties</w:t>
            </w:r>
          </w:p>
        </w:tc>
        <w:tc>
          <w:tcPr>
            <w:tcW w:w="234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Agreement/Effective Date</w:t>
            </w:r>
          </w:p>
        </w:tc>
        <w:tc>
          <w:tcPr>
            <w:tcW w:w="2263"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Term of agreement</w:t>
            </w:r>
          </w:p>
        </w:tc>
        <w:tc>
          <w:tcPr>
            <w:tcW w:w="3027" w:type="dxa"/>
            <w:tcBorders>
              <w:top w:val="single" w:sz="12" w:space="0" w:color="000000"/>
              <w:start w:val="single" w:sz="6" w:space="0" w:color="000000"/>
              <w:bottom w:val="single" w:sz="6" w:space="0" w:color="000000"/>
              <w:end w:val="single" w:sz="12" w:space="0" w:color="000000"/>
            </w:tcBorders>
          </w:tcPr>
          <w:p>
            <w:pPr>
              <w:pStyle w:val="Normal"/>
              <w:jc w:val="center"/>
              <w:rPr>
                <w:rFonts w:ascii="Arial" w:hAnsi="Arial" w:cs="Arial"/>
                <w:b/>
                <w:color w:val="000000"/>
                <w:sz w:val="20"/>
              </w:rPr>
            </w:pPr>
            <w:r>
              <w:rPr>
                <w:rFonts w:cs="Arial" w:ascii="Arial" w:hAnsi="Arial"/>
                <w:b/>
                <w:color w:val="000000"/>
                <w:sz w:val="20"/>
              </w:rPr>
              <w:t>Comments</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Confidentiality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Alcoa,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November 14,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*Copy on file only signed by Envera</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AMR Research Inc.'s Membership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AMR Research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Signed 12/12/00</w:t>
            </w:r>
          </w:p>
        </w:tc>
        <w:tc>
          <w:tcPr>
            <w:tcW w:w="529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Dec 1, 2000 - </w:t>
            </w:r>
          </w:p>
          <w:p>
            <w:pPr>
              <w:pStyle w:val="Normal"/>
              <w:rPr>
                <w:rFonts w:ascii="Arial" w:hAnsi="Arial" w:cs="Arial"/>
                <w:color w:val="000000"/>
                <w:sz w:val="20"/>
              </w:rPr>
            </w:pPr>
            <w:r>
              <w:rPr>
                <w:rFonts w:cs="Arial" w:ascii="Arial" w:hAnsi="Arial"/>
                <w:color w:val="000000"/>
                <w:sz w:val="20"/>
              </w:rPr>
              <w:t>Nov 30. 2002</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Confidential Disclosure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American Railcar Industries</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November 1,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Letter of Intent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Chemizen.com</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Signed 11/9/00 &amp; 11/20/00</w:t>
            </w:r>
          </w:p>
        </w:tc>
        <w:tc>
          <w:tcPr>
            <w:tcW w:w="529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earlier of (1) termination by parties; (2) consummation of transaction (3) Dec 31, 2000</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188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above agreement references NDA as of 11/9/00</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Confidentiality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Citibank, N.A.</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November 13,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Software License Order Form</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Cyclone Commerce,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September 11, 2000</w:t>
            </w:r>
          </w:p>
        </w:tc>
        <w:tc>
          <w:tcPr>
            <w:tcW w:w="226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10/1/00 to 10/1/01</w:t>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committed license term; ~$2500</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Professional Services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digitalESP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June 6, 2000</w:t>
            </w:r>
          </w:p>
        </w:tc>
        <w:tc>
          <w:tcPr>
            <w:tcW w:w="529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terminated effective</w:t>
            </w:r>
          </w:p>
          <w:p>
            <w:pPr>
              <w:pStyle w:val="Normal"/>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9/28/00</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Placement Fee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Digital ESP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August 1,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$35,000 fee for Chorng-hour Yang</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 Relationship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Digital ESP, Inc./Ethyl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February 11,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Copy on file only signed by Digital ESP</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Confidentiality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Global Markets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November 13,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Master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Forrester Research,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October 26, 2000</w:t>
            </w:r>
          </w:p>
        </w:tc>
        <w:tc>
          <w:tcPr>
            <w:tcW w:w="226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October 31, 2001</w:t>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$50,000 for Products &amp; Advisory Svcs</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188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Copy on file only signed by Envera</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Confidentiality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GE Information Services,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December 4,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Confidentiality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HAHT Commerce,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November 16,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Agreement for services</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Hill and Knowlton, Inc./ Ethyl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March 9,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 Relationship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Hill and Knowlton, Inc./ Ethyl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February 8,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Proposal for Internet Content Hosting Services</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International Business Machines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August 8, 2000</w:t>
            </w:r>
          </w:p>
        </w:tc>
        <w:tc>
          <w:tcPr>
            <w:tcW w:w="226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36 months after Deliverables</w:t>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Copy on file only signed by Envera</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 Relationship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International Business Machines Corporation/ Ethyl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December 14, 1999</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IBM/Envera Customer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International Business Machines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signed 9/18/00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Copy on file only signed by Envera</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 Relationship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INFINEUM UK LTD</w:t>
            </w:r>
          </w:p>
        </w:tc>
        <w:tc>
          <w:tcPr>
            <w:tcW w:w="4603"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Signed 11/27/00 </w:t>
            </w:r>
          </w:p>
          <w:p>
            <w:pPr>
              <w:pStyle w:val="Normal"/>
              <w:rPr>
                <w:rFonts w:ascii="Arial" w:hAnsi="Arial" w:cs="Arial"/>
                <w:color w:val="000000"/>
                <w:sz w:val="20"/>
              </w:rPr>
            </w:pPr>
            <w:r>
              <w:rPr>
                <w:rFonts w:cs="Arial" w:ascii="Arial" w:hAnsi="Arial"/>
                <w:color w:val="000000"/>
                <w:sz w:val="20"/>
              </w:rPr>
              <w:t>&amp; 11/29/00</w:t>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Confidentiality/Non-Disclosure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Joseph Transportation,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November 1,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Secrecy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The Lubrizol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20,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Letter of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Martin Public Relations</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August 7, 2000</w:t>
            </w:r>
          </w:p>
        </w:tc>
        <w:tc>
          <w:tcPr>
            <w:tcW w:w="226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December 31, 2000</w:t>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Public relations services</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Service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New Boston Select Group,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6,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technical staffing - Chuck Swaim</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Letter for contract services</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New Boston Systems</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September 1, 2000</w:t>
            </w:r>
          </w:p>
        </w:tc>
        <w:tc>
          <w:tcPr>
            <w:tcW w:w="226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 months</w:t>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technical staffing - William Anderson</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Letter for contract services</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New Boston Systems</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 months</w:t>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technical staffing - Lorne Joseph</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Confidential Disclosure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Oracle Corporation/Ethyl Corp.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January 14,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Ordering Document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Oracle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August 4,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licenses, 1st yr update &amp; support</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Confidential Relationship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PricewaterhouseCoopers/Ethyl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December 13, 1999</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Mutual Nondisclosure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WebMethods, Inc./Ethyl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March 8,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Software License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WebMethods,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May 31, 2000</w:t>
            </w:r>
          </w:p>
        </w:tc>
        <w:tc>
          <w:tcPr>
            <w:tcW w:w="226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3 yrs (renewable)</w:t>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Proposal for Network Consulting Services</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Whitlock Group ebusiness solutions</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signed 7/24/00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project cost $9,375</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Professional Services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sz w:val="20"/>
              </w:rPr>
              <w:t xml:space="preserve">TWG </w:t>
            </w:r>
            <w:r>
              <w:rPr>
                <w:rFonts w:cs="Arial" w:ascii="Arial" w:hAnsi="Arial"/>
                <w:i/>
                <w:color w:val="000000"/>
                <w:sz w:val="20"/>
              </w:rPr>
              <w:t>ebusiness solutions</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June 19,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Statements of Work for various consultants w/</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188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contract start and end dates</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Contractor Services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XMLSolutions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May 11, 2000</w:t>
            </w:r>
          </w:p>
        </w:tc>
        <w:tc>
          <w:tcPr>
            <w:tcW w:w="226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one year</w:t>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Statement of Work</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XMLSolutions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September 14,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estimate of $142,400 + expenses</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Addendum</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XMLSolutions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October 13,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estimate of $43,300 + expenses</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Audit engagement letter</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Arthur Andersen</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FY 12/31/00 audit; approx $15,000 + expenses (?)</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Membership Unit Option Agreements</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Officers of Envera</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granted as of 9/30/00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schedule w/ individuals available if requested</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Membership Unit Option Agreements</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Non-officers of Envera</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granted as of 9/30/00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schedule w/ individuals available if requested</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Membership Unit Option Agreements</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Non-officers of Envera</w:t>
            </w:r>
          </w:p>
        </w:tc>
        <w:tc>
          <w:tcPr>
            <w:tcW w:w="4603"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granted as of 12/31/00</w:t>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subject to board approval</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Employment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J. Robert Mooney</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Operating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Albemarle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20,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Operating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Borden Holdings,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20,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Operating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Ethyl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20,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Operating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The Lubrizol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20,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Operating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Lyondell Chemical Company</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20,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Operating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Mays Chemical Company</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20,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Operating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Occidental Chemical Corporation</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20,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Operating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Solutia,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20, 2000</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Operating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PhenolChemie,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w:t>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Employment/Severance Agreement</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Officers of Envera</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not yet executed</w:t>
            </w:r>
          </w:p>
        </w:tc>
      </w:tr>
      <w:tr>
        <w:trPr>
          <w:trHeight w:val="190" w:hRule="atLeast"/>
        </w:trPr>
        <w:tc>
          <w:tcPr>
            <w:tcW w:w="336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Employee Non-Disclosure Agreements</w:t>
            </w:r>
          </w:p>
        </w:tc>
        <w:tc>
          <w:tcPr>
            <w:tcW w:w="188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Employees of Envera</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226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3027" w:type="dxa"/>
            <w:tcBorders>
              <w:top w:val="single" w:sz="6"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190" w:hRule="atLeast"/>
        </w:trPr>
        <w:tc>
          <w:tcPr>
            <w:tcW w:w="3368" w:type="dxa"/>
            <w:tcBorders>
              <w:top w:val="single" w:sz="6" w:space="0" w:color="000000"/>
              <w:start w:val="single" w:sz="12" w:space="0" w:color="000000"/>
              <w:bottom w:val="single" w:sz="12" w:space="0" w:color="000000"/>
              <w:end w:val="single" w:sz="6" w:space="0" w:color="000000"/>
            </w:tcBorders>
          </w:tcPr>
          <w:p>
            <w:pPr>
              <w:pStyle w:val="Normal"/>
              <w:rPr>
                <w:rFonts w:ascii="Arial" w:hAnsi="Arial" w:cs="Arial"/>
                <w:color w:val="000000"/>
                <w:sz w:val="20"/>
              </w:rPr>
            </w:pPr>
            <w:r>
              <w:rPr>
                <w:rFonts w:cs="Arial" w:ascii="Arial" w:hAnsi="Arial"/>
                <w:color w:val="000000"/>
                <w:sz w:val="20"/>
              </w:rPr>
              <w:t>Transition Services Agreement</w:t>
            </w:r>
          </w:p>
        </w:tc>
        <w:tc>
          <w:tcPr>
            <w:tcW w:w="1882"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color w:val="000000"/>
                <w:sz w:val="20"/>
              </w:rPr>
            </w:pPr>
            <w:r>
              <w:rPr>
                <w:rFonts w:cs="Arial" w:ascii="Arial" w:hAnsi="Arial"/>
                <w:color w:val="000000"/>
                <w:sz w:val="20"/>
              </w:rPr>
              <w:t>Ethyl Corporation</w:t>
            </w:r>
          </w:p>
        </w:tc>
        <w:tc>
          <w:tcPr>
            <w:tcW w:w="234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July 1, 2000</w:t>
            </w:r>
          </w:p>
        </w:tc>
        <w:tc>
          <w:tcPr>
            <w:tcW w:w="2263"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0"/>
              </w:rPr>
            </w:pPr>
            <w:r>
              <w:rPr>
                <w:rFonts w:cs="Arial" w:ascii="Arial" w:hAnsi="Arial"/>
                <w:color w:val="000000"/>
                <w:sz w:val="20"/>
              </w:rPr>
              <w:t>12 months</w:t>
            </w:r>
          </w:p>
        </w:tc>
        <w:tc>
          <w:tcPr>
            <w:tcW w:w="3027" w:type="dxa"/>
            <w:tcBorders>
              <w:top w:val="single" w:sz="6" w:space="0" w:color="000000"/>
              <w:start w:val="single" w:sz="6" w:space="0" w:color="000000"/>
              <w:bottom w:val="single" w:sz="12" w:space="0" w:color="000000"/>
              <w:end w:val="single" w:sz="12" w:space="0" w:color="000000"/>
            </w:tcBorders>
          </w:tcPr>
          <w:p>
            <w:pPr>
              <w:pStyle w:val="Normal"/>
              <w:rPr>
                <w:rFonts w:ascii="Arial" w:hAnsi="Arial" w:cs="Arial"/>
                <w:color w:val="000000"/>
                <w:sz w:val="20"/>
              </w:rPr>
            </w:pPr>
            <w:r>
              <w:rPr>
                <w:rFonts w:cs="Arial" w:ascii="Arial" w:hAnsi="Arial"/>
                <w:color w:val="000000"/>
                <w:sz w:val="20"/>
              </w:rPr>
              <w:t>rent, payroll, etc.  (not sure if executed)</w:t>
            </w:r>
          </w:p>
        </w:tc>
      </w:tr>
    </w:tbl>
    <w:p>
      <w:pPr>
        <w:sectPr>
          <w:type w:val="nextPage"/>
          <w:pgSz w:orient="landscape" w:w="15840" w:h="12240"/>
          <w:pgMar w:left="1440" w:right="1440" w:gutter="0" w:header="0" w:top="1440" w:footer="0" w:bottom="1440"/>
          <w:pgNumType w:fmt="decimal"/>
          <w:formProt w:val="false"/>
          <w:titlePg/>
          <w:textDirection w:val="lrTb"/>
          <w:docGrid w:type="default" w:linePitch="360" w:charSpace="0"/>
        </w:sectPr>
      </w:pPr>
    </w:p>
    <w:p>
      <w:pPr>
        <w:pStyle w:val="Normal"/>
        <w:rPr/>
      </w:pPr>
      <w:r>
        <w:rPr/>
      </w:r>
    </w:p>
    <w:p>
      <w:pPr>
        <w:pStyle w:val="Normal"/>
        <w:jc w:val="center"/>
        <w:rPr>
          <w:b/>
        </w:rPr>
      </w:pPr>
      <w:r>
        <w:rPr>
          <w:b/>
        </w:rPr>
        <w:t>SCHEDULE 3.19</w:t>
      </w:r>
    </w:p>
    <w:p>
      <w:pPr>
        <w:pStyle w:val="Normal"/>
        <w:jc w:val="center"/>
        <w:rPr>
          <w:b/>
        </w:rPr>
      </w:pPr>
      <w:r>
        <w:rPr>
          <w:b/>
        </w:rPr>
        <w:t>BENEFITS PLANS</w:t>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2358"/>
        <w:gridCol w:w="2610"/>
        <w:gridCol w:w="4608"/>
      </w:tblGrid>
      <w:tr>
        <w:trPr/>
        <w:tc>
          <w:tcPr>
            <w:tcW w:w="2358" w:type="dxa"/>
            <w:tcBorders/>
          </w:tcPr>
          <w:p>
            <w:pPr>
              <w:pStyle w:val="Normal"/>
              <w:jc w:val="center"/>
              <w:rPr>
                <w:b/>
                <w:u w:val="single"/>
              </w:rPr>
            </w:pPr>
            <w:r>
              <w:rPr>
                <w:b/>
                <w:u w:val="single"/>
              </w:rPr>
              <w:t>Type of Plan</w:t>
            </w:r>
          </w:p>
        </w:tc>
        <w:tc>
          <w:tcPr>
            <w:tcW w:w="2610" w:type="dxa"/>
            <w:tcBorders/>
          </w:tcPr>
          <w:p>
            <w:pPr>
              <w:pStyle w:val="Normal"/>
              <w:jc w:val="center"/>
              <w:rPr>
                <w:b/>
                <w:u w:val="single"/>
              </w:rPr>
            </w:pPr>
            <w:r>
              <w:rPr>
                <w:b/>
                <w:u w:val="single"/>
              </w:rPr>
              <w:t>Underwriter</w:t>
            </w:r>
          </w:p>
        </w:tc>
        <w:tc>
          <w:tcPr>
            <w:tcW w:w="4608" w:type="dxa"/>
            <w:tcBorders/>
          </w:tcPr>
          <w:p>
            <w:pPr>
              <w:pStyle w:val="Normal"/>
              <w:jc w:val="center"/>
              <w:rPr>
                <w:b/>
                <w:u w:val="single"/>
              </w:rPr>
            </w:pPr>
            <w:r>
              <w:rPr>
                <w:b/>
                <w:u w:val="single"/>
              </w:rPr>
              <w:t>Details</w:t>
            </w:r>
          </w:p>
          <w:p>
            <w:pPr>
              <w:pStyle w:val="Normal"/>
              <w:jc w:val="center"/>
              <w:rPr>
                <w:b/>
                <w:u w:val="single"/>
              </w:rPr>
            </w:pPr>
            <w:r>
              <w:rPr>
                <w:b/>
                <w:u w:val="single"/>
              </w:rPr>
            </w:r>
          </w:p>
        </w:tc>
      </w:tr>
      <w:tr>
        <w:trPr/>
        <w:tc>
          <w:tcPr>
            <w:tcW w:w="2358" w:type="dxa"/>
            <w:tcBorders/>
          </w:tcPr>
          <w:p>
            <w:pPr>
              <w:pStyle w:val="Normal"/>
              <w:rPr/>
            </w:pPr>
            <w:r>
              <w:rPr/>
              <w:t>Medical</w:t>
            </w:r>
          </w:p>
        </w:tc>
        <w:tc>
          <w:tcPr>
            <w:tcW w:w="2610" w:type="dxa"/>
            <w:tcBorders/>
          </w:tcPr>
          <w:p>
            <w:pPr>
              <w:pStyle w:val="Normal"/>
              <w:rPr/>
            </w:pPr>
            <w:r>
              <w:rPr/>
              <w:t>Trigon Healthkeepers of Virginia</w:t>
            </w:r>
          </w:p>
        </w:tc>
        <w:tc>
          <w:tcPr>
            <w:tcW w:w="4608" w:type="dxa"/>
            <w:tcBorders/>
          </w:tcPr>
          <w:p>
            <w:pPr>
              <w:pStyle w:val="Normal"/>
              <w:rPr/>
            </w:pPr>
            <w:r>
              <w:rPr/>
              <w:t>HMO &amp; POS programs are available.  Envera pays 80% of premiums for Employee only coverage or 70% for Employee + Child/Spouse or Family coverage.</w:t>
            </w:r>
          </w:p>
          <w:p>
            <w:pPr>
              <w:pStyle w:val="Normal"/>
              <w:rPr/>
            </w:pPr>
            <w:r>
              <w:rPr/>
            </w:r>
          </w:p>
        </w:tc>
      </w:tr>
      <w:tr>
        <w:trPr/>
        <w:tc>
          <w:tcPr>
            <w:tcW w:w="2358" w:type="dxa"/>
            <w:tcBorders/>
          </w:tcPr>
          <w:p>
            <w:pPr>
              <w:pStyle w:val="Normal"/>
              <w:rPr/>
            </w:pPr>
            <w:r>
              <w:rPr/>
              <w:t>Dental</w:t>
            </w:r>
          </w:p>
        </w:tc>
        <w:tc>
          <w:tcPr>
            <w:tcW w:w="2610" w:type="dxa"/>
            <w:tcBorders/>
          </w:tcPr>
          <w:p>
            <w:pPr>
              <w:pStyle w:val="Normal"/>
              <w:rPr/>
            </w:pPr>
            <w:r>
              <w:rPr/>
              <w:t>Trigon Blue Cross/Blue Shield of Virginia</w:t>
            </w:r>
          </w:p>
        </w:tc>
        <w:tc>
          <w:tcPr>
            <w:tcW w:w="4608" w:type="dxa"/>
            <w:tcBorders/>
          </w:tcPr>
          <w:p>
            <w:pPr>
              <w:pStyle w:val="Normal"/>
              <w:rPr/>
            </w:pPr>
            <w:r>
              <w:rPr/>
              <w:t>Envera pays 80% of premiums for Employee only coverage or 70% for Employee + Child/Spouse or Family coverage.</w:t>
            </w:r>
          </w:p>
          <w:p>
            <w:pPr>
              <w:pStyle w:val="Normal"/>
              <w:rPr/>
            </w:pPr>
            <w:r>
              <w:rPr/>
            </w:r>
          </w:p>
        </w:tc>
      </w:tr>
      <w:tr>
        <w:trPr/>
        <w:tc>
          <w:tcPr>
            <w:tcW w:w="2358" w:type="dxa"/>
            <w:tcBorders/>
          </w:tcPr>
          <w:p>
            <w:pPr>
              <w:pStyle w:val="Normal"/>
              <w:rPr/>
            </w:pPr>
            <w:r>
              <w:rPr/>
              <w:t>Short &amp; Long Term Disability</w:t>
            </w:r>
          </w:p>
        </w:tc>
        <w:tc>
          <w:tcPr>
            <w:tcW w:w="2610" w:type="dxa"/>
            <w:tcBorders/>
          </w:tcPr>
          <w:p>
            <w:pPr>
              <w:pStyle w:val="Normal"/>
              <w:rPr/>
            </w:pPr>
            <w:r>
              <w:rPr/>
              <w:t>American General/US Life Insurance Company</w:t>
            </w:r>
          </w:p>
          <w:p>
            <w:pPr>
              <w:pStyle w:val="Normal"/>
              <w:rPr/>
            </w:pPr>
            <w:r>
              <w:rPr/>
            </w:r>
          </w:p>
        </w:tc>
        <w:tc>
          <w:tcPr>
            <w:tcW w:w="4608" w:type="dxa"/>
            <w:tcBorders/>
          </w:tcPr>
          <w:p>
            <w:pPr>
              <w:pStyle w:val="Normal"/>
              <w:snapToGrid w:val="false"/>
              <w:rPr/>
            </w:pPr>
            <w:r>
              <w:rPr/>
            </w:r>
          </w:p>
        </w:tc>
      </w:tr>
      <w:tr>
        <w:trPr/>
        <w:tc>
          <w:tcPr>
            <w:tcW w:w="2358" w:type="dxa"/>
            <w:tcBorders/>
          </w:tcPr>
          <w:p>
            <w:pPr>
              <w:pStyle w:val="Normal"/>
              <w:rPr/>
            </w:pPr>
            <w:r>
              <w:rPr/>
              <w:t>Life/AD&amp;D</w:t>
            </w:r>
          </w:p>
        </w:tc>
        <w:tc>
          <w:tcPr>
            <w:tcW w:w="2610" w:type="dxa"/>
            <w:tcBorders/>
          </w:tcPr>
          <w:p>
            <w:pPr>
              <w:pStyle w:val="Normal"/>
              <w:rPr/>
            </w:pPr>
            <w:r>
              <w:rPr/>
              <w:t>American General/US Life Insurance Company</w:t>
            </w:r>
          </w:p>
          <w:p>
            <w:pPr>
              <w:pStyle w:val="Normal"/>
              <w:rPr/>
            </w:pPr>
            <w:r>
              <w:rPr/>
            </w:r>
          </w:p>
        </w:tc>
        <w:tc>
          <w:tcPr>
            <w:tcW w:w="4608" w:type="dxa"/>
            <w:tcBorders/>
          </w:tcPr>
          <w:p>
            <w:pPr>
              <w:pStyle w:val="Normal"/>
              <w:rPr/>
            </w:pPr>
            <w:r>
              <w:rPr/>
              <w:t>1 times Basic Annual Earnings to $300,000</w:t>
            </w:r>
          </w:p>
        </w:tc>
      </w:tr>
      <w:tr>
        <w:trPr/>
        <w:tc>
          <w:tcPr>
            <w:tcW w:w="2358" w:type="dxa"/>
            <w:tcBorders/>
          </w:tcPr>
          <w:p>
            <w:pPr>
              <w:pStyle w:val="Normal"/>
              <w:rPr/>
            </w:pPr>
            <w:r>
              <w:rPr/>
              <w:t>Voluntary Life</w:t>
            </w:r>
          </w:p>
        </w:tc>
        <w:tc>
          <w:tcPr>
            <w:tcW w:w="2610" w:type="dxa"/>
            <w:tcBorders/>
          </w:tcPr>
          <w:p>
            <w:pPr>
              <w:pStyle w:val="Normal"/>
              <w:rPr/>
            </w:pPr>
            <w:r>
              <w:rPr/>
              <w:t>American General/US Life Insurance Company</w:t>
            </w:r>
          </w:p>
        </w:tc>
        <w:tc>
          <w:tcPr>
            <w:tcW w:w="4608" w:type="dxa"/>
            <w:tcBorders/>
          </w:tcPr>
          <w:p>
            <w:pPr>
              <w:pStyle w:val="Normal"/>
              <w:rPr/>
            </w:pPr>
            <w:r>
              <w:rPr/>
              <w:t>Up to 5 times Basic Annual Earnings to $200,000</w:t>
            </w:r>
          </w:p>
          <w:p>
            <w:pPr>
              <w:pStyle w:val="Normal"/>
              <w:rPr/>
            </w:pPr>
            <w:r>
              <w:rPr/>
            </w:r>
          </w:p>
        </w:tc>
      </w:tr>
      <w:tr>
        <w:trPr/>
        <w:tc>
          <w:tcPr>
            <w:tcW w:w="2358" w:type="dxa"/>
            <w:tcBorders/>
          </w:tcPr>
          <w:p>
            <w:pPr>
              <w:pStyle w:val="Normal"/>
              <w:rPr/>
            </w:pPr>
            <w:r>
              <w:rPr/>
              <w:t>401(k) plan</w:t>
            </w:r>
          </w:p>
        </w:tc>
        <w:tc>
          <w:tcPr>
            <w:tcW w:w="2610" w:type="dxa"/>
            <w:tcBorders/>
          </w:tcPr>
          <w:p>
            <w:pPr>
              <w:pStyle w:val="Normal"/>
              <w:snapToGrid w:val="false"/>
              <w:rPr/>
            </w:pPr>
            <w:r>
              <w:rPr/>
            </w:r>
          </w:p>
        </w:tc>
        <w:tc>
          <w:tcPr>
            <w:tcW w:w="4608" w:type="dxa"/>
            <w:tcBorders/>
          </w:tcPr>
          <w:p>
            <w:pPr>
              <w:pStyle w:val="Normal"/>
              <w:rPr/>
            </w:pPr>
            <w:r>
              <w:rPr/>
              <w:t>not yet executed; planned for Jan. 2001</w:t>
            </w:r>
          </w:p>
        </w:tc>
      </w:tr>
    </w:tbl>
    <w:p>
      <w:pPr>
        <w:pStyle w:val="Normal"/>
        <w:rPr/>
      </w:pPr>
      <w:r>
        <w:rPr/>
      </w:r>
    </w:p>
    <w:p>
      <w:pPr>
        <w:pStyle w:val="Normal"/>
        <w:ind w:hanging="90" w:start="90" w:end="0"/>
        <w:rPr/>
      </w:pPr>
      <w:r>
        <w:rPr/>
        <w:t>*Envera employees also have the benefits of a 2000 Membership Unit Option Plan, three weeks paid vacation and major holidays off.</w:t>
      </w:r>
    </w:p>
    <w:p>
      <w:pPr>
        <w:pStyle w:val="Normal"/>
        <w:rPr/>
      </w:pPr>
      <w:r>
        <w:rPr/>
      </w:r>
    </w:p>
    <w:p>
      <w:pPr>
        <w:pStyle w:val="Normal"/>
        <w:rPr/>
      </w:pPr>
      <w:r>
        <w:rPr/>
      </w:r>
      <w:r>
        <w:br w:type="page"/>
      </w:r>
    </w:p>
    <w:p>
      <w:pPr>
        <w:pStyle w:val="Normal"/>
        <w:jc w:val="center"/>
        <w:rPr>
          <w:b/>
        </w:rPr>
      </w:pPr>
      <w:r>
        <w:rPr>
          <w:b/>
        </w:rPr>
        <w:t>SCHEDULE 3.25</w:t>
      </w:r>
    </w:p>
    <w:p>
      <w:pPr>
        <w:pStyle w:val="Normal"/>
        <w:jc w:val="center"/>
        <w:rPr>
          <w:b/>
        </w:rPr>
      </w:pPr>
      <w:r>
        <w:rPr>
          <w:b/>
        </w:rPr>
        <w:t>TRANSACTION INFORMATION</w:t>
      </w:r>
    </w:p>
    <w:p>
      <w:pPr>
        <w:pStyle w:val="Normal"/>
        <w:jc w:val="center"/>
        <w:rPr>
          <w:b/>
        </w:rPr>
      </w:pPr>
      <w:r>
        <w:rPr>
          <w:b/>
        </w:rPr>
      </w:r>
    </w:p>
    <w:p>
      <w:pPr>
        <w:pStyle w:val="Normal"/>
        <w:rPr>
          <w:b/>
        </w:rPr>
      </w:pPr>
      <w:r>
        <w:rPr>
          <w:b/>
        </w:rPr>
      </w:r>
    </w:p>
    <w:p>
      <w:pPr>
        <w:pStyle w:val="Normal"/>
        <w:rPr>
          <w:caps/>
        </w:rPr>
      </w:pPr>
      <w:r>
        <w:rPr/>
        <w:t>The representations and warranties made by EGM, and other information disclosed by Envera to EGM, in the Subscription Agreement and the materials included therewith, are hereby incorporated herein by reference.  In addition, if any of the following risks actually occurs, Envera’s business, financial condition, or operating results could be materially harmed.</w:t>
      </w:r>
    </w:p>
    <w:p>
      <w:pPr>
        <w:pStyle w:val="Normal"/>
        <w:rPr>
          <w:caps/>
        </w:rPr>
      </w:pPr>
      <w:r>
        <w:rPr>
          <w:caps/>
        </w:rPr>
      </w:r>
    </w:p>
    <w:p>
      <w:pPr>
        <w:pStyle w:val="Normal"/>
        <w:numPr>
          <w:ilvl w:val="0"/>
          <w:numId w:val="2"/>
        </w:numPr>
        <w:rPr>
          <w:caps/>
        </w:rPr>
      </w:pPr>
      <w:r>
        <w:rPr/>
        <w:t>Envera began operations in July 2000 and has generated minimal revenue to date.  It is an early stage company engaged in new and rapidly evolving markets such as electronic commerce.  Envera is currently servicing nine member companies.  The small sampling of users and transactions makes it difficult to determine if Envera’s services will gain widespread market acceptance in the future. If Envera is unable to significantly grow its business beyond this limited number of users and transactions, the business may fail.</w:t>
      </w:r>
    </w:p>
    <w:p>
      <w:pPr>
        <w:pStyle w:val="Normal"/>
        <w:numPr>
          <w:ilvl w:val="0"/>
          <w:numId w:val="0"/>
        </w:numPr>
        <w:ind w:hanging="360" w:start="360" w:end="0"/>
        <w:rPr>
          <w:caps/>
        </w:rPr>
      </w:pPr>
      <w:r>
        <w:rPr>
          <w:caps/>
        </w:rPr>
      </w:r>
    </w:p>
    <w:p>
      <w:pPr>
        <w:pStyle w:val="Normal"/>
        <w:numPr>
          <w:ilvl w:val="0"/>
          <w:numId w:val="2"/>
        </w:numPr>
        <w:rPr/>
      </w:pPr>
      <w:r>
        <w:rPr/>
        <w:t>Envera has generated only losses to date and, while trading member subscription revenues began in January 2001, it expects significant increases in expenses, which will result in continued losses.  Envera must therefore generate substantial revenues to achieve profitability.  The growth in the revenues will primarily depend on subscription revenues from new member companies and fees for value-added services provided through the Envera network.  The extent of future losses will also be contingent, in part, on managing operating expenses.</w:t>
      </w:r>
    </w:p>
    <w:p>
      <w:pPr>
        <w:pStyle w:val="Normal"/>
        <w:numPr>
          <w:ilvl w:val="0"/>
          <w:numId w:val="0"/>
        </w:numPr>
        <w:ind w:hanging="360" w:start="360" w:end="0"/>
        <w:rPr>
          <w:caps/>
        </w:rPr>
      </w:pPr>
      <w:r>
        <w:rPr>
          <w:caps/>
        </w:rPr>
      </w:r>
    </w:p>
    <w:p>
      <w:pPr>
        <w:pStyle w:val="Normal"/>
        <w:numPr>
          <w:ilvl w:val="0"/>
          <w:numId w:val="2"/>
        </w:numPr>
        <w:rPr>
          <w:caps/>
        </w:rPr>
      </w:pPr>
      <w:r>
        <w:rPr/>
        <w:t>Due to Envera’s limited operating history and the evolving nature of the Internet-based business-to-business model, management may be unable to accurately forecast revenues.  A variety of factors, many of which are outside of Envera’s control, may cause revenues to fluctuate significantly in the future.  Management’s inability to adequately address any of these factors may adversely affect the long-term viability of the business. These factors include:  the timing and expense of expanding operations; ability to attract new members, retain existing members and satisfy their demands; the use of exchange by Envera members who are not legally obligated to do so; the loss of one or more active members; changes in pricing policies; ability to upgrade systems and infrastructure without disrupting operations; and costs related to the acquisition of complementary businesses or technologies.</w:t>
      </w:r>
    </w:p>
    <w:p>
      <w:pPr>
        <w:pStyle w:val="Normal"/>
        <w:numPr>
          <w:ilvl w:val="0"/>
          <w:numId w:val="0"/>
        </w:numPr>
        <w:ind w:hanging="360" w:start="360" w:end="0"/>
        <w:rPr>
          <w:caps/>
        </w:rPr>
      </w:pPr>
      <w:r>
        <w:rPr>
          <w:caps/>
        </w:rPr>
      </w:r>
    </w:p>
    <w:p>
      <w:pPr>
        <w:pStyle w:val="Normal"/>
        <w:numPr>
          <w:ilvl w:val="0"/>
          <w:numId w:val="2"/>
        </w:numPr>
        <w:rPr>
          <w:caps/>
        </w:rPr>
      </w:pPr>
      <w:r>
        <w:rPr/>
        <w:t>Envera’s success depends on the willingness of petroleum, chemical and other companies to transact business over the Internet.  If these companies are unwilling to conduct business over the Internet, the market potential for Envera services will be limited.  In addition, time plays a factor in both signing on a targeted Member as well as implementing Envera’s services.  These time lags may harm Envera’s ability to generate sufficient revenues to succeed</w:t>
      </w:r>
      <w:r>
        <w:rPr>
          <w:caps/>
        </w:rPr>
        <w:t>.</w:t>
      </w:r>
    </w:p>
    <w:p>
      <w:pPr>
        <w:pStyle w:val="Normal"/>
        <w:numPr>
          <w:ilvl w:val="0"/>
          <w:numId w:val="0"/>
        </w:numPr>
        <w:ind w:hanging="360" w:start="360" w:end="0"/>
        <w:rPr>
          <w:caps/>
        </w:rPr>
      </w:pPr>
      <w:r>
        <w:rPr>
          <w:caps/>
        </w:rPr>
      </w:r>
    </w:p>
    <w:p>
      <w:pPr>
        <w:pStyle w:val="Normal"/>
        <w:numPr>
          <w:ilvl w:val="0"/>
          <w:numId w:val="2"/>
        </w:numPr>
        <w:rPr>
          <w:caps/>
        </w:rPr>
      </w:pPr>
      <w:r>
        <w:rPr/>
        <w:t>Competition in the market for on-line exchanges of chemicals is intense and Envera may not be able to compete successfully with current or new competitors that enter the market.  If Envera is unable to compete effectively, the subscription and value-added services fees charged might fall and market share may suffer.</w:t>
      </w:r>
    </w:p>
    <w:p>
      <w:pPr>
        <w:pStyle w:val="Normal"/>
        <w:numPr>
          <w:ilvl w:val="0"/>
          <w:numId w:val="0"/>
        </w:numPr>
        <w:ind w:hanging="360" w:start="360" w:end="0"/>
        <w:rPr>
          <w:caps/>
        </w:rPr>
      </w:pPr>
      <w:r>
        <w:rPr>
          <w:caps/>
        </w:rPr>
      </w:r>
    </w:p>
    <w:p>
      <w:pPr>
        <w:pStyle w:val="Normal"/>
        <w:numPr>
          <w:ilvl w:val="0"/>
          <w:numId w:val="2"/>
        </w:numPr>
        <w:rPr>
          <w:caps/>
        </w:rPr>
      </w:pPr>
      <w:r>
        <w:rPr/>
        <w:t>If either Envera or its Members fail to comply with applicable laws and regulations, Envera’s reputation may be harmed and the company could incur significant costs, which may negatively impact the result of operation.  As neutral transaction facilitators, Envera relies on its members to complete their transactions as they have agreed.  However, if suppliers fail to provide the quality of goods and timely delivery or if customers fail to pay for goods purchased, Envera’s reputation may be harmed</w:t>
      </w:r>
      <w:r>
        <w:rPr>
          <w:caps/>
        </w:rPr>
        <w:t>.</w:t>
      </w:r>
    </w:p>
    <w:p>
      <w:pPr>
        <w:pStyle w:val="Normal"/>
        <w:numPr>
          <w:ilvl w:val="0"/>
          <w:numId w:val="0"/>
        </w:numPr>
        <w:ind w:hanging="360" w:start="360" w:end="0"/>
        <w:rPr>
          <w:caps/>
        </w:rPr>
      </w:pPr>
      <w:r>
        <w:rPr>
          <w:caps/>
        </w:rPr>
      </w:r>
    </w:p>
    <w:p>
      <w:pPr>
        <w:pStyle w:val="Normal"/>
        <w:numPr>
          <w:ilvl w:val="0"/>
          <w:numId w:val="2"/>
        </w:numPr>
        <w:rPr>
          <w:caps/>
        </w:rPr>
      </w:pPr>
      <w:r>
        <w:rPr/>
        <w:t>Envera’s strategy of expanding its business may subject the company to additional regulations, which may delay or prevent expansion and harm the business.  Domestic and international government regulation of the Internet and data transmission over the Internet could negatively affect Envera.</w:t>
      </w:r>
    </w:p>
    <w:p>
      <w:pPr>
        <w:pStyle w:val="Normal"/>
        <w:numPr>
          <w:ilvl w:val="0"/>
          <w:numId w:val="0"/>
        </w:numPr>
        <w:ind w:hanging="360" w:start="360" w:end="0"/>
        <w:rPr>
          <w:caps/>
        </w:rPr>
      </w:pPr>
      <w:r>
        <w:rPr>
          <w:caps/>
        </w:rPr>
      </w:r>
    </w:p>
    <w:p>
      <w:pPr>
        <w:pStyle w:val="Normal"/>
        <w:numPr>
          <w:ilvl w:val="0"/>
          <w:numId w:val="2"/>
        </w:numPr>
        <w:rPr>
          <w:caps/>
        </w:rPr>
      </w:pPr>
      <w:r>
        <w:rPr/>
        <w:t>Envera relies on third-party providers for many of the services it offers on the exchange and may not be able to secure these services in the future or effectively integrate these services into the Envera Network.</w:t>
      </w:r>
    </w:p>
    <w:p>
      <w:pPr>
        <w:pStyle w:val="Normal"/>
        <w:numPr>
          <w:ilvl w:val="0"/>
          <w:numId w:val="0"/>
        </w:numPr>
        <w:ind w:hanging="360" w:start="360" w:end="0"/>
        <w:rPr>
          <w:caps/>
        </w:rPr>
      </w:pPr>
      <w:r>
        <w:rPr>
          <w:caps/>
        </w:rPr>
      </w:r>
    </w:p>
    <w:p>
      <w:pPr>
        <w:pStyle w:val="Normal"/>
        <w:numPr>
          <w:ilvl w:val="0"/>
          <w:numId w:val="2"/>
        </w:numPr>
        <w:rPr>
          <w:caps/>
        </w:rPr>
      </w:pPr>
      <w:r>
        <w:rPr/>
        <w:t>Envera depends on the effective operation of an entire chain of software, hardware and telecommunications equipment to operate its marketplace.  Any software or hardware failures could result in the loss of revenues and the potential loss of Members.  Also, Envera may be unable to fully integrate businesses or technologies that it may acquire in the future.</w:t>
      </w:r>
    </w:p>
    <w:p>
      <w:pPr>
        <w:pStyle w:val="Normal"/>
        <w:numPr>
          <w:ilvl w:val="0"/>
          <w:numId w:val="0"/>
        </w:numPr>
        <w:ind w:hanging="360" w:start="360" w:end="0"/>
        <w:rPr>
          <w:caps/>
        </w:rPr>
      </w:pPr>
      <w:r>
        <w:rPr>
          <w:caps/>
        </w:rPr>
      </w:r>
    </w:p>
    <w:p>
      <w:pPr>
        <w:pStyle w:val="Normal"/>
        <w:numPr>
          <w:ilvl w:val="0"/>
          <w:numId w:val="2"/>
        </w:numPr>
        <w:rPr>
          <w:caps/>
        </w:rPr>
      </w:pPr>
      <w:r>
        <w:rPr/>
        <w:t>Failure to maintain the confidentiality of Envera Members' information against security breaches may result in damage to its reputation as Members lose confidence in Envera.  Envera may also face possible legal liability.</w:t>
      </w:r>
    </w:p>
    <w:p>
      <w:pPr>
        <w:pStyle w:val="Normal"/>
        <w:numPr>
          <w:ilvl w:val="0"/>
          <w:numId w:val="0"/>
        </w:numPr>
        <w:ind w:hanging="360" w:start="360" w:end="0"/>
        <w:rPr>
          <w:caps/>
        </w:rPr>
      </w:pPr>
      <w:r>
        <w:rPr>
          <w:caps/>
        </w:rPr>
      </w:r>
    </w:p>
    <w:p>
      <w:pPr>
        <w:pStyle w:val="Normal"/>
        <w:numPr>
          <w:ilvl w:val="0"/>
          <w:numId w:val="2"/>
        </w:numPr>
        <w:rPr>
          <w:caps/>
        </w:rPr>
      </w:pPr>
      <w:r>
        <w:rPr/>
        <w:t>While Envera’s management team has extensive industry and technical expertise, a significant change in management may prove to not be able to successfully implement the business plan.  Furthermore, failures to attract, develop, and retain qualified personnel to run both domestic and international operations can harm Envera.  Envera has grown very rapidly.  Envera’s current and anticipated growth will place a significant strain on the management systems and resources.  Envera will not be able to implement its business strategies unless it is able to effectively manage this strain on systems and resources.</w:t>
      </w:r>
    </w:p>
    <w:p>
      <w:pPr>
        <w:pStyle w:val="Normal"/>
        <w:numPr>
          <w:ilvl w:val="0"/>
          <w:numId w:val="0"/>
        </w:numPr>
        <w:ind w:hanging="360" w:start="360" w:end="0"/>
        <w:rPr>
          <w:caps/>
        </w:rPr>
      </w:pPr>
      <w:r>
        <w:rPr>
          <w:caps/>
        </w:rPr>
      </w:r>
    </w:p>
    <w:p>
      <w:pPr>
        <w:pStyle w:val="Normal"/>
        <w:numPr>
          <w:ilvl w:val="0"/>
          <w:numId w:val="2"/>
        </w:numPr>
        <w:rPr>
          <w:caps/>
        </w:rPr>
      </w:pPr>
      <w:r>
        <w:rPr/>
        <w:t>Envera may incur significant costs to defend or establish intellectual property and proprietary rights in and outside of the United States.  In addition, Envera relies on technologies licensed from third parties to develop and to maintain its on-line exchange.  If these licenses cease to be available to Envera on commercially feasible terms, Envera may be unable to replace them without adverse effects on current operations.</w:t>
      </w:r>
    </w:p>
    <w:p>
      <w:pPr>
        <w:pStyle w:val="Normal"/>
        <w:numPr>
          <w:ilvl w:val="0"/>
          <w:numId w:val="0"/>
        </w:numPr>
        <w:ind w:hanging="360" w:start="360" w:end="0"/>
        <w:rPr>
          <w:caps/>
        </w:rPr>
      </w:pPr>
      <w:r>
        <w:rPr>
          <w:caps/>
        </w:rPr>
      </w:r>
    </w:p>
    <w:p>
      <w:pPr>
        <w:pStyle w:val="Normal"/>
        <w:numPr>
          <w:ilvl w:val="0"/>
          <w:numId w:val="2"/>
        </w:numPr>
        <w:rPr>
          <w:caps/>
        </w:rPr>
      </w:pPr>
      <w:r>
        <w:rPr/>
        <w:t>Envera may require additional capital from other sources, which could reduce the relative ownership percentages.  This may also subordinate membership interests to those of new capital investors resulting in a negative impact on member investments.</w:t>
      </w:r>
    </w:p>
    <w:p>
      <w:pPr>
        <w:pStyle w:val="Normal"/>
        <w:numPr>
          <w:ilvl w:val="0"/>
          <w:numId w:val="0"/>
        </w:numPr>
        <w:ind w:hanging="360" w:start="360" w:end="0"/>
        <w:rPr>
          <w:caps/>
        </w:rPr>
      </w:pPr>
      <w:r>
        <w:rPr>
          <w:caps/>
        </w:rPr>
      </w:r>
    </w:p>
    <w:p>
      <w:pPr>
        <w:pStyle w:val="Normal"/>
        <w:numPr>
          <w:ilvl w:val="0"/>
          <w:numId w:val="2"/>
        </w:numPr>
        <w:rPr>
          <w:caps/>
        </w:rPr>
      </w:pPr>
      <w:r>
        <w:rPr/>
        <w:t>Envera depends on the continued growth and acceptance of business-to-business electronic commerce.  If Envera does not respond to rapid technological changes, its services could become obsolete and the business would be seriously harmed.</w:t>
      </w:r>
    </w:p>
    <w:p>
      <w:pPr>
        <w:pStyle w:val="Normal"/>
        <w:numPr>
          <w:ilvl w:val="0"/>
          <w:numId w:val="0"/>
        </w:numPr>
        <w:ind w:hanging="360" w:start="360" w:end="0"/>
        <w:rPr>
          <w:caps/>
        </w:rPr>
      </w:pPr>
      <w:r>
        <w:rPr>
          <w:caps/>
        </w:rPr>
      </w:r>
    </w:p>
    <w:p>
      <w:pPr>
        <w:pStyle w:val="Normal"/>
        <w:numPr>
          <w:ilvl w:val="0"/>
          <w:numId w:val="2"/>
        </w:numPr>
        <w:rPr>
          <w:caps/>
        </w:rPr>
      </w:pPr>
      <w:r>
        <w:rPr/>
        <w:t>Envera has broad discretion to use the proceeds from investments in membership interests.  It does not intend to pay any dividends.</w:t>
      </w:r>
    </w:p>
    <w:p>
      <w:pPr>
        <w:pStyle w:val="Normal"/>
        <w:numPr>
          <w:ilvl w:val="0"/>
          <w:numId w:val="0"/>
        </w:numPr>
        <w:ind w:hanging="360" w:start="360" w:end="0"/>
        <w:rPr>
          <w:caps/>
        </w:rPr>
      </w:pPr>
      <w:r>
        <w:rPr>
          <w:caps/>
        </w:rPr>
      </w:r>
    </w:p>
    <w:p>
      <w:pPr>
        <w:pStyle w:val="Normal"/>
        <w:numPr>
          <w:ilvl w:val="0"/>
          <w:numId w:val="2"/>
        </w:numPr>
        <w:rPr/>
      </w:pPr>
      <w:r>
        <w:rPr/>
        <w:t>While confident of its systems and services opportunities, Envera recognizes that it is embarking on a risky venture.  The territory is very new, the rules have not yet been defined, and aggressive competitors are everywhere.  Although one of Envera’s fundamental goals is to successfully manage the business risks described above, risks and uncertainties could adversely affect the value of the business and investors in Envera may lose part or all of their investment.</w:t>
      </w:r>
    </w:p>
    <w:p>
      <w:pPr>
        <w:pStyle w:val="Normal"/>
        <w:rPr/>
      </w:pPr>
      <w:r>
        <w:rPr/>
      </w:r>
    </w:p>
    <w:p>
      <w:pPr>
        <w:pStyle w:val="Normal"/>
        <w:rPr/>
      </w:pPr>
      <w:r>
        <w:rPr/>
      </w:r>
      <w:r>
        <w:br w:type="page"/>
      </w:r>
    </w:p>
    <w:p>
      <w:pPr>
        <w:pStyle w:val="Normal"/>
        <w:jc w:val="center"/>
        <w:rPr>
          <w:b/>
        </w:rPr>
      </w:pPr>
      <w:r>
        <w:rPr>
          <w:b/>
        </w:rPr>
        <w:t>SCHEDULE 4.3</w:t>
      </w:r>
    </w:p>
    <w:p>
      <w:pPr>
        <w:pStyle w:val="Normal"/>
        <w:jc w:val="center"/>
        <w:rPr>
          <w:b/>
        </w:rPr>
      </w:pPr>
      <w:r>
        <w:rPr>
          <w:b/>
        </w:rPr>
        <w:t>NONCONTRAVENTION</w:t>
      </w:r>
    </w:p>
    <w:p>
      <w:pPr>
        <w:pStyle w:val="Normal"/>
        <w:jc w:val="center"/>
        <w:rPr>
          <w:b/>
        </w:rPr>
      </w:pPr>
      <w:r>
        <w:rPr>
          <w:b/>
        </w:rPr>
      </w:r>
    </w:p>
    <w:p>
      <w:pPr>
        <w:pStyle w:val="Normal"/>
        <w:rPr>
          <w:b/>
        </w:rPr>
      </w:pPr>
      <w:r>
        <w:rPr/>
        <w:t xml:space="preserve">[This schedule should disclose those matters under which EGM will be required to file with, or receive authorization from, any court, arbitration tribunal, administrative agency or commission or other Governmental Agency or third party in connection with the execution and performance of the transactions contemplated by the Agreement and the Ancillary Agreements.] </w:t>
      </w:r>
    </w:p>
    <w:p>
      <w:pPr>
        <w:pStyle w:val="Normal"/>
        <w:jc w:val="center"/>
        <w:rPr>
          <w:b/>
        </w:rPr>
      </w:pPr>
      <w:r>
        <w:rPr>
          <w:b/>
        </w:rPr>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pacing w:val="-3"/>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3"/>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2001-01-11T01:19:00Z</dcterms:created>
  <dc:creator>01279</dc:creator>
  <dc:description/>
  <dc:language>en-CA</dc:language>
  <cp:lastModifiedBy>VE</cp:lastModifiedBy>
  <cp:lastPrinted>2001-01-10T17:14:00Z</cp:lastPrinted>
  <dcterms:modified xsi:type="dcterms:W3CDTF">2001-01-11T01:19:00Z</dcterms:modified>
  <cp:revision>2</cp:revision>
  <dc:subject/>
  <dc:title>Draft Schedules to the Enron Master Agreement</dc:title>
</cp:coreProperties>
</file>