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1.xml" ContentType="application/vnd.openxmlformats-officedocument.wordprocessingml.foot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11.xml" ContentType="application/vnd.openxmlformats-officedocument.wordprocessingml.footer+xml"/>
  <Override PartName="/word/footer9.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10.xml" ContentType="application/vnd.openxmlformats-officedocument.wordprocessingml.footer+xml"/>
  <Override PartName="/word/footer8.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right" w:pos="9360" w:leader="none"/>
        </w:tabs>
        <w:bidi w:val="0"/>
        <w:ind w:hanging="0" w:start="0" w:end="0"/>
        <w:jc w:val="end"/>
        <w:rPr>
          <w:rFonts w:ascii="Times New Roman" w:hAnsi="Times New Roman"/>
          <w:b/>
        </w:rPr>
      </w:pPr>
      <w:r>
        <w:rPr>
          <w:rFonts w:ascii="Times New Roman" w:hAnsi="Times New Roman"/>
          <w:b/>
        </w:rPr>
      </w:r>
    </w:p>
    <w:p>
      <w:pPr>
        <w:pStyle w:val="Normal"/>
        <w:widowControl/>
        <w:tabs>
          <w:tab w:val="clear" w:pos="720"/>
          <w:tab w:val="right" w:pos="9360" w:leader="none"/>
        </w:tabs>
        <w:bidi w:val="0"/>
        <w:ind w:hanging="0" w:start="0" w:end="0"/>
        <w:jc w:val="both"/>
        <w:rPr>
          <w:rFonts w:ascii="Times New Roman" w:hAnsi="Times New Roman"/>
        </w:rPr>
      </w:pPr>
      <w:r>
        <w:rPr>
          <w:rFonts w:ascii="Times New Roman" w:hAnsi="Times New Roman"/>
        </w:rPr>
      </w:r>
    </w:p>
    <w:p>
      <w:pPr>
        <w:pStyle w:val="Normal"/>
        <w:widowControl/>
        <w:tabs>
          <w:tab w:val="clear" w:pos="720"/>
          <w:tab w:val="right" w:pos="9360" w:leader="none"/>
        </w:tabs>
        <w:bidi w:val="0"/>
        <w:ind w:hanging="0" w:start="0" w:end="0"/>
        <w:jc w:val="both"/>
        <w:rPr>
          <w:rFonts w:ascii="Times New Roman" w:hAnsi="Times New Roman"/>
        </w:rPr>
      </w:pPr>
      <w:r>
        <w:rPr>
          <w:rFonts w:ascii="Times New Roman" w:hAnsi="Times New Roman"/>
        </w:rPr>
        <w:tab/>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tab/>
      </w:r>
      <w:r>
        <w:rPr>
          <w:rFonts w:ascii="Times New Roman" w:hAnsi="Times New Roman"/>
          <w:b/>
        </w:rPr>
        <w:t>MARGIN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0" w:end="0"/>
        <w:jc w:val="both"/>
        <w:rPr>
          <w:rFonts w:ascii="Times New Roman" w:hAnsi="Times New Roman"/>
        </w:rPr>
      </w:pPr>
      <w:r>
        <w:rPr>
          <w:rFonts w:ascii="Times New Roman" w:hAnsi="Times New Roman"/>
        </w:rPr>
        <w:t xml:space="preserve">THIS MARGIN AGREEMENT (this </w:t>
      </w:r>
      <w:r>
        <w:rPr>
          <w:rFonts w:ascii="Times New Roman" w:hAnsi="Times New Roman"/>
          <w:i/>
        </w:rPr>
        <w:t>"Agreement"</w:t>
      </w:r>
      <w:r>
        <w:rPr>
          <w:rFonts w:ascii="Times New Roman" w:hAnsi="Times New Roman"/>
        </w:rPr>
        <w:t xml:space="preserve">) is made and entered into as of this </w:t>
      </w:r>
      <w:r>
        <w:rPr>
          <w:rFonts w:ascii="Times New Roman" w:hAnsi="Times New Roman"/>
          <w:strike/>
        </w:rPr>
        <w:t>___</w:t>
      </w:r>
      <w:r>
        <w:rPr>
          <w:rFonts w:ascii="Times New Roman" w:hAnsi="Times New Roman"/>
          <w:b/>
          <w:u w:val="double"/>
        </w:rPr>
        <w:t>28th</w:t>
      </w:r>
      <w:r>
        <w:rPr>
          <w:rFonts w:ascii="Times New Roman" w:hAnsi="Times New Roman"/>
        </w:rPr>
        <w:t xml:space="preserve"> day of December, 2000, by and among ENRON NORTH AMERICA CORP., a Delaware corporation (</w:t>
      </w:r>
      <w:r>
        <w:rPr>
          <w:rFonts w:ascii="Times New Roman" w:hAnsi="Times New Roman"/>
          <w:i/>
        </w:rPr>
        <w:t>"Seller"</w:t>
      </w:r>
      <w:r>
        <w:rPr>
          <w:rFonts w:ascii="Times New Roman" w:hAnsi="Times New Roman"/>
        </w:rPr>
        <w:t>), MAHONIA NATURAL GAS LIMITED, a company incorporated under the laws of Jersey (</w:t>
      </w:r>
      <w:r>
        <w:rPr>
          <w:rFonts w:ascii="Times New Roman" w:hAnsi="Times New Roman"/>
          <w:i/>
        </w:rPr>
        <w:t>"Purchaser"</w:t>
      </w:r>
      <w:r>
        <w:rPr>
          <w:rFonts w:ascii="Times New Roman" w:hAnsi="Times New Roman"/>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0" w:end="0"/>
        <w:jc w:val="both"/>
        <w:rPr>
          <w:rFonts w:ascii="Times New Roman" w:hAnsi="Times New Roman"/>
        </w:rPr>
      </w:pPr>
      <w:r>
        <w:rPr>
          <w:rFonts w:ascii="Times New Roman" w:hAnsi="Times New Roman"/>
        </w:rPr>
        <w:t>WHEREAS, Seller and Purchaser have entered into the Forward Sale Contract (as hereafter defined); and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0" w:end="0"/>
        <w:jc w:val="both"/>
        <w:rPr>
          <w:rFonts w:ascii="Times New Roman" w:hAnsi="Times New Roman"/>
        </w:rPr>
      </w:pPr>
      <w:r>
        <w:rPr>
          <w:rFonts w:ascii="Times New Roman" w:hAnsi="Times New Roman"/>
        </w:rPr>
        <w:t>WHEREAS, Seller has agreed to provide security for its obligations under the Forward Sale Contract under the conditions and in accordance with the terms provided herein.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0" w:end="0"/>
        <w:jc w:val="both"/>
        <w:rPr>
          <w:rFonts w:ascii="Times New Roman" w:hAnsi="Times New Roman"/>
        </w:rPr>
      </w:pPr>
      <w:r>
        <w:rPr>
          <w:rFonts w:ascii="Times New Roman" w:hAnsi="Times New Roman"/>
        </w:rPr>
        <w:t>NOW THEREFORE, in consideration of the mutual benefits and obligations of the parties hereunder, Seller and Purchaser agree as follows: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0" w:end="0"/>
        <w:jc w:val="both"/>
        <w:rPr>
          <w:rFonts w:ascii="Times New Roman" w:hAnsi="Times New Roman"/>
        </w:rPr>
      </w:pPr>
      <w:r>
        <w:rPr>
          <w:rFonts w:ascii="Times New Roman" w:hAnsi="Times New Roman"/>
        </w:rPr>
        <w:t>1.</w:t>
        <w:tab/>
        <w:t xml:space="preserve">(a)  </w:t>
      </w:r>
      <w:r>
        <w:rPr>
          <w:rFonts w:ascii="Times New Roman" w:hAnsi="Times New Roman"/>
          <w:i/>
        </w:rPr>
        <w:t>Defined Terms</w:t>
      </w:r>
      <w:r>
        <w:rPr>
          <w:rFonts w:ascii="Times New Roman" w:hAnsi="Times New Roman"/>
        </w:rPr>
        <w:t>.  Capitalized terms in this Agreement, unless otherwise defined in this Section 1 or in other provisions of this Agreement, shall have meanings given to such terms in the Forward Sale Contract.  As used in this Agreement, the following terms shall have the following meanings (such meanings to be applicable equally to both the singular and the plural forms of the terms defined).  All accounting terms not specifically defined herein shall be construed in accordance with GAAP.</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end="0"/>
        <w:jc w:val="both"/>
        <w:rPr>
          <w:rFonts w:ascii="Times New Roman" w:hAnsi="Times New Roman"/>
        </w:rPr>
      </w:pPr>
      <w:r>
        <w:rPr>
          <w:rFonts w:ascii="Times New Roman" w:hAnsi="Times New Roman"/>
          <w:i/>
        </w:rPr>
        <w:t>"Calculated Exposure"</w:t>
      </w:r>
      <w:r>
        <w:rPr>
          <w:rFonts w:ascii="Times New Roman" w:hAnsi="Times New Roman"/>
        </w:rPr>
        <w:t xml:space="preserve"> shall mean an amount equal to the sum of the Termination Payment and any Unpaid Amounts that would be due by Seller to Purchaser under the Forward Sale Contract if the Forward Sale Contract was terminated pursuant to Sections 5.02 thereof and the Termination Date was the date as of which Calculated Exposure is determined.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end="0"/>
        <w:jc w:val="both"/>
        <w:rPr>
          <w:rFonts w:ascii="Times New Roman" w:hAnsi="Times New Roman"/>
        </w:rPr>
      </w:pPr>
      <w:r>
        <w:rPr>
          <w:rFonts w:ascii="Times New Roman" w:hAnsi="Times New Roman"/>
          <w:i/>
        </w:rPr>
        <w:t>"Consolidated"</w:t>
      </w:r>
      <w:r>
        <w:rPr>
          <w:rFonts w:ascii="Times New Roman" w:hAnsi="Times New Roman"/>
        </w:rPr>
        <w:t xml:space="preserve"> refers to the consolidation of the accounts of Enron and its Subsidiaries in accordance with GAAP.</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end="0"/>
        <w:jc w:val="both"/>
        <w:rPr>
          <w:rFonts w:ascii="Times New Roman" w:hAnsi="Times New Roman"/>
        </w:rPr>
      </w:pPr>
      <w:r>
        <w:rPr>
          <w:rFonts w:ascii="Times New Roman" w:hAnsi="Times New Roman"/>
          <w:i/>
        </w:rPr>
        <w:t>"Consolidated Net Worth"</w:t>
      </w:r>
      <w:r>
        <w:rPr>
          <w:rFonts w:ascii="Times New Roman" w:hAnsi="Times New Roman"/>
        </w:rPr>
        <w:t xml:space="preserve"> means, at any date, the Consolidated stockholders' equity of Enron and its Consolidated Subsidiaries (excluding any Redeemable Preferred Stock of Enron).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end="0"/>
        <w:jc w:val="both"/>
        <w:rPr>
          <w:rFonts w:ascii="Times New Roman" w:hAnsi="Times New Roman"/>
        </w:rPr>
      </w:pPr>
      <w:r>
        <w:rPr>
          <w:rFonts w:ascii="Times New Roman" w:hAnsi="Times New Roman"/>
          <w:i/>
        </w:rPr>
        <w:t>"Consolidated Tangible Net Worth"</w:t>
      </w:r>
      <w:r>
        <w:rPr>
          <w:rFonts w:ascii="Times New Roman" w:hAnsi="Times New Roman"/>
        </w:rPr>
        <w:t xml:space="preserve"> means at any date Consolidated Net Worth less the amount, if any, in excess of $110,000,000 of Consolidated "intangible assets" (as defined below) included in determining Consolidated Net Worth.  For the purposes of this definition, </w:t>
      </w:r>
      <w:r>
        <w:rPr>
          <w:rFonts w:ascii="Times New Roman" w:hAnsi="Times New Roman"/>
          <w:i/>
        </w:rPr>
        <w:t>"intangible assets"</w:t>
      </w:r>
      <w:r>
        <w:rPr>
          <w:rFonts w:ascii="Times New Roman" w:hAnsi="Times New Roman"/>
        </w:rPr>
        <w:t xml:space="preserve"> means the amount of (i) all write-ups (other than write-ups resulting from foreign currency translations and write-ups of assets of a going concern business made within 12 months after the acquisition of such business) subsequent to December 31, 1999, in the book value of any asset owned by Enron or a Subsidiary and (ii) all unamortized goodwill, patents, trademarks, service marks, trade names, copyrights, organization or develop</w:t>
        <w:softHyphen/>
        <w:t>mental expenses and other intangible items.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end="0"/>
        <w:jc w:val="both"/>
        <w:rPr>
          <w:rFonts w:ascii="Times New Roman" w:hAnsi="Times New Roman"/>
        </w:rPr>
      </w:pPr>
      <w:r>
        <w:rPr>
          <w:rFonts w:ascii="Times New Roman" w:hAnsi="Times New Roman"/>
          <w:i/>
        </w:rPr>
        <w:t>"Debt"</w:t>
      </w:r>
      <w:r>
        <w:rPr>
          <w:rFonts w:ascii="Times New Roman" w:hAnsi="Times New Roman"/>
        </w:rPr>
        <w:t xml:space="preserve"> of any Person means, at any date, without duplication (i) obligations for the repay</w:t>
        <w:softHyphen/>
        <w:t>ment of money borrowed which are or should be shown on a balance sheet as debt in accordance with GAAP, (ii) obligations as lessee under leases which, in accordance with GAAP, are capital leases, and (iii) guaranties of payment or collection of any obligations described in clauses (i) and (ii) of other Persons, provided, that clauses (i) and (ii) include, in the case of obligations of Enron or any Subsidiary, only such obligations as are or should be shown as debt or capital lease liabilities on a Consolidated balance sheet in accordance with GAAP; provided, further, that the liability of any Person as a general partner of a partnership for Debt of such partnership, if the partnership is not a Subsidiary of such Person, shall not constitute Debt.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end="0"/>
        <w:jc w:val="both"/>
        <w:rPr>
          <w:rFonts w:ascii="Times New Roman" w:hAnsi="Times New Roman"/>
        </w:rPr>
      </w:pPr>
      <w:r>
        <w:rPr>
          <w:rFonts w:ascii="Times New Roman" w:hAnsi="Times New Roman"/>
          <w:i/>
        </w:rPr>
        <w:t>"Enron"</w:t>
      </w:r>
      <w:r>
        <w:rPr>
          <w:rFonts w:ascii="Times New Roman" w:hAnsi="Times New Roman"/>
        </w:rPr>
        <w:t xml:space="preserve"> means Enron Corp., a corporation incorporated under the laws of the State of Oregon and shall include any successor thereto pursuant to Section 4.02 of the Guaranty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end="0"/>
        <w:jc w:val="both"/>
        <w:rPr>
          <w:rFonts w:ascii="Times New Roman" w:hAnsi="Times New Roman"/>
        </w:rPr>
      </w:pPr>
      <w:r>
        <w:rPr>
          <w:rFonts w:ascii="Times New Roman" w:hAnsi="Times New Roman"/>
          <w:i/>
        </w:rPr>
        <w:t>"Event of Default"</w:t>
      </w:r>
      <w:r>
        <w:rPr>
          <w:rFonts w:ascii="Times New Roman" w:hAnsi="Times New Roman"/>
        </w:rPr>
        <w:t xml:space="preserve"> means an Event of Default (as defined in the Forward Sale Contract) under the Forward Sale Contract.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end="0"/>
        <w:jc w:val="both"/>
        <w:rPr>
          <w:rFonts w:ascii="Times New Roman" w:hAnsi="Times New Roman"/>
        </w:rPr>
      </w:pPr>
      <w:r>
        <w:rPr>
          <w:rFonts w:ascii="Times New Roman" w:hAnsi="Times New Roman"/>
          <w:i/>
        </w:rPr>
        <w:t>"Excess Market Exposure"</w:t>
      </w:r>
      <w:r>
        <w:rPr>
          <w:rFonts w:ascii="Times New Roman" w:hAnsi="Times New Roman"/>
        </w:rPr>
        <w:t xml:space="preserve"> means the amount by which the Total Market Exposure exceeds the Threshold Amount.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end="0"/>
        <w:jc w:val="both"/>
        <w:rPr>
          <w:rFonts w:ascii="Times New Roman" w:hAnsi="Times New Roman"/>
        </w:rPr>
      </w:pPr>
      <w:r>
        <w:rPr>
          <w:rFonts w:ascii="Times New Roman" w:hAnsi="Times New Roman"/>
          <w:i/>
        </w:rPr>
        <w:t>"Fair Market Value"</w:t>
      </w:r>
      <w:r>
        <w:rPr>
          <w:rFonts w:ascii="Times New Roman" w:hAnsi="Times New Roman"/>
        </w:rPr>
        <w:t xml:space="preserve"> with respect to Margin means (i) if such Margin consists of cash on deposit with the Purchaser, the amount of such cash, (ii) if such Margin consists of letters of credit of the type described in clause (iii) of the definition of Margin, the aggregate face amount of such letters of credit, and (iii) if such Margin consists of Securities, the fair market value of such Margin shall be the bid price for such Securities by a recognized dealer, chosen by the Purchaser in its reasonable discretion, making a market in the Securities constituting such Margin multiplied by the relevant percentage set forth in Exhibit B hereto.”</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end="0"/>
        <w:jc w:val="both"/>
        <w:rPr>
          <w:rFonts w:ascii="Times New Roman" w:hAnsi="Times New Roman"/>
        </w:rPr>
      </w:pPr>
      <w:r>
        <w:rPr>
          <w:rFonts w:ascii="Times New Roman" w:hAnsi="Times New Roman"/>
          <w:i/>
        </w:rPr>
        <w:t>"FERC"</w:t>
      </w:r>
      <w:r>
        <w:rPr>
          <w:rFonts w:ascii="Times New Roman" w:hAnsi="Times New Roman"/>
        </w:rPr>
        <w:t xml:space="preserve"> means the Federal Energy Regulatory Commission, or any federal agency or authority of the United States from time to time succeeding to its function.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end="0"/>
        <w:jc w:val="both"/>
        <w:rPr>
          <w:rFonts w:ascii="Times New Roman" w:hAnsi="Times New Roman"/>
        </w:rPr>
      </w:pPr>
      <w:r>
        <w:rPr>
          <w:rFonts w:ascii="Times New Roman" w:hAnsi="Times New Roman"/>
          <w:i/>
        </w:rPr>
        <w:t>"Fixed Undelivered Gas Volume"</w:t>
      </w:r>
      <w:r>
        <w:rPr>
          <w:rFonts w:ascii="Times New Roman" w:hAnsi="Times New Roman"/>
        </w:rPr>
        <w:t xml:space="preserve"> means a Required Delivery Quantity of Natural Gas that has been agreed to pursuant to Section 2.01 of the Forward Sale Contract for a given Delivery Month but which Seller has not delivered and for which Purchaser has not received payment pursuant to this Agreement or the Forward Sale Contract.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end="0"/>
        <w:jc w:val="both"/>
        <w:rPr>
          <w:rFonts w:ascii="Times New Roman" w:hAnsi="Times New Roman"/>
          <w:i/>
          <w:i/>
        </w:rPr>
      </w:pPr>
      <w:r>
        <w:rPr>
          <w:rFonts w:ascii="Times New Roman" w:hAnsi="Times New Roman"/>
          <w:i/>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end="0"/>
        <w:jc w:val="both"/>
        <w:rPr>
          <w:rFonts w:ascii="Times New Roman" w:hAnsi="Times New Roman"/>
        </w:rPr>
      </w:pPr>
      <w:r>
        <w:rPr>
          <w:rFonts w:ascii="Times New Roman" w:hAnsi="Times New Roman"/>
          <w:i/>
        </w:rPr>
        <w:t>"Forward Sale Contract"</w:t>
      </w:r>
      <w:r>
        <w:rPr>
          <w:rFonts w:ascii="Times New Roman" w:hAnsi="Times New Roman"/>
        </w:rPr>
        <w:t xml:space="preserve"> means the Natural Gas Inventory Forward Sale Contract between Seller and Purchaser dated of even date herewith, as the same may be modified or amended from time to time.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end="0"/>
        <w:jc w:val="both"/>
        <w:rPr>
          <w:rFonts w:ascii="Times New Roman" w:hAnsi="Times New Roman"/>
        </w:rPr>
      </w:pPr>
      <w:r>
        <w:rPr>
          <w:rFonts w:ascii="Times New Roman" w:hAnsi="Times New Roman"/>
          <w:i/>
        </w:rPr>
        <w:t>"GAAP"</w:t>
      </w:r>
      <w:r>
        <w:rPr>
          <w:rFonts w:ascii="Times New Roman" w:hAnsi="Times New Roman"/>
        </w:rPr>
        <w:t xml:space="preserve"> means United States generally accepted accounting principles and policies consistent with those applied in the preparation of the audited consolidated financial statements referred to in Section 3.01(d)(i) of the Enron Guaranty dated of even date herewith, made by Enron to Purchaser.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end="0"/>
        <w:jc w:val="both"/>
        <w:rPr>
          <w:rFonts w:ascii="Times New Roman" w:hAnsi="Times New Roman"/>
        </w:rPr>
      </w:pPr>
      <w:r>
        <w:rPr>
          <w:rFonts w:ascii="Times New Roman" w:hAnsi="Times New Roman"/>
          <w:i/>
        </w:rPr>
        <w:t>"Henry Hub"</w:t>
      </w:r>
      <w:r>
        <w:rPr>
          <w:rFonts w:ascii="Times New Roman" w:hAnsi="Times New Roman"/>
        </w:rPr>
        <w:t xml:space="preserve"> means the Sabine Pipe Line Company pipeline facilities at Texaco Inc.'s Henry Gas Processing Plant near Erath, Louisiana.</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end="0"/>
        <w:jc w:val="both"/>
        <w:rPr>
          <w:rFonts w:ascii="Times New Roman" w:hAnsi="Times New Roman"/>
        </w:rPr>
      </w:pPr>
      <w:r>
        <w:rPr>
          <w:rFonts w:ascii="Times New Roman" w:hAnsi="Times New Roman"/>
          <w:i/>
        </w:rPr>
        <w:t>"Interest Rate"</w:t>
      </w:r>
      <w:r>
        <w:rPr>
          <w:rFonts w:ascii="Times New Roman" w:hAnsi="Times New Roman"/>
        </w:rPr>
        <w:t xml:space="preserve"> shall mean , for any day, the rate set forth for that day opposite the caption "Federal Funds (Effective)" in the weekly statistical release designated "H.15(519)", or any successor publication, published by the Board of Governors of the Federal Reserve System,  </w:t>
      </w:r>
      <w:r>
        <w:rPr>
          <w:rFonts w:ascii="Times New Roman" w:hAnsi="Times New Roman"/>
          <w:u w:val="single"/>
        </w:rPr>
        <w:t>minus</w:t>
      </w:r>
      <w:r>
        <w:rPr>
          <w:rFonts w:ascii="Times New Roman" w:hAnsi="Times New Roman"/>
        </w:rPr>
        <w:t xml:space="preserve"> 1/8%.</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end="0"/>
        <w:jc w:val="both"/>
        <w:rPr>
          <w:rFonts w:ascii="Times New Roman" w:hAnsi="Times New Roman"/>
        </w:rPr>
      </w:pPr>
      <w:r>
        <w:rPr>
          <w:rFonts w:ascii="Times New Roman" w:hAnsi="Times New Roman"/>
          <w:i/>
        </w:rPr>
        <w:t>"Margin"</w:t>
      </w:r>
      <w:r>
        <w:rPr>
          <w:rFonts w:ascii="Times New Roman" w:hAnsi="Times New Roman"/>
        </w:rPr>
        <w:t xml:space="preserve"> means (i) cash; (ii) Securities; or (iii) other credit support or collateral acceptable to Purchaser provided that the currency of denomination of all such Margin is U.S. dollars, unless otherwise agreed by the Purchaser and Seller.  Margin shall include any payments or other distributions received with respect to any of the aforesaid Margin.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end="0"/>
        <w:jc w:val="both"/>
        <w:rPr>
          <w:rFonts w:ascii="Times New Roman" w:hAnsi="Times New Roman"/>
        </w:rPr>
      </w:pPr>
      <w:r>
        <w:rPr>
          <w:rFonts w:ascii="Times New Roman" w:hAnsi="Times New Roman"/>
          <w:i/>
        </w:rPr>
        <w:t>"Margin Price Confirmation Letter"</w:t>
      </w:r>
      <w:r>
        <w:rPr>
          <w:rFonts w:ascii="Times New Roman" w:hAnsi="Times New Roman"/>
        </w:rPr>
        <w:t xml:space="preserve"> means the letter setting forth the Margin Reference Prices executed and delivered pursuant to Section 1(b).</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end="0"/>
        <w:jc w:val="both"/>
        <w:rPr>
          <w:rFonts w:ascii="Times New Roman" w:hAnsi="Times New Roman"/>
        </w:rPr>
      </w:pPr>
      <w:r>
        <w:rPr>
          <w:rFonts w:ascii="Times New Roman" w:hAnsi="Times New Roman"/>
          <w:i/>
        </w:rPr>
        <w:t>"Margin Reference Price"</w:t>
      </w:r>
      <w:r>
        <w:rPr>
          <w:rFonts w:ascii="Times New Roman" w:hAnsi="Times New Roman"/>
        </w:rPr>
        <w:t xml:space="preserve"> means a price per MMBtu of Natural Gas for a given Delivery Month as set forth in the Margin Price Confirmation Letter.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end="0"/>
        <w:jc w:val="both"/>
        <w:rPr>
          <w:rFonts w:ascii="Times New Roman" w:hAnsi="Times New Roman"/>
        </w:rPr>
      </w:pPr>
      <w:r>
        <w:rPr>
          <w:rFonts w:ascii="Times New Roman" w:hAnsi="Times New Roman"/>
          <w:i/>
        </w:rPr>
        <w:t>"Minimum Call"</w:t>
      </w:r>
      <w:r>
        <w:rPr>
          <w:rFonts w:ascii="Times New Roman" w:hAnsi="Times New Roman"/>
        </w:rPr>
        <w:t xml:space="preserve"> means the amount under the heading "Minimum Call" opposite the then current Standard &amp; Poors credit rating of Enron as set forth in Exhibit A hereto.</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end="0"/>
        <w:jc w:val="both"/>
        <w:rPr>
          <w:rFonts w:ascii="Times New Roman" w:hAnsi="Times New Roman"/>
        </w:rPr>
      </w:pPr>
      <w:r>
        <w:rPr>
          <w:rFonts w:ascii="Times New Roman" w:hAnsi="Times New Roman"/>
          <w:i/>
        </w:rPr>
        <w:t>"NYMEX Gas Price"</w:t>
      </w:r>
      <w:r>
        <w:rPr>
          <w:rFonts w:ascii="Times New Roman" w:hAnsi="Times New Roman"/>
        </w:rPr>
        <w:t xml:space="preserve"> shall mean the average settlement price per MMBtu for the last three trading days prior to the date such price is required to be determined under this Agreement, for the Natural Gas futures contract traded on NYMEX for delivery at Henry Hub during the applicable Delivery Month.</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end="0"/>
        <w:jc w:val="both"/>
        <w:rPr>
          <w:rFonts w:ascii="Times New Roman" w:hAnsi="Times New Roman"/>
        </w:rPr>
      </w:pPr>
      <w:r>
        <w:rPr>
          <w:rFonts w:ascii="Times New Roman" w:hAnsi="Times New Roman"/>
          <w:i/>
        </w:rPr>
        <w:t>"Payment Obligations"</w:t>
      </w:r>
      <w:r>
        <w:rPr>
          <w:rFonts w:ascii="Times New Roman" w:hAnsi="Times New Roman"/>
        </w:rPr>
        <w:t xml:space="preserve"> means the obligations of Seller to make payments to Purchaser under the terms of the Forward Sale Contract.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end="0"/>
        <w:jc w:val="both"/>
        <w:rPr>
          <w:rFonts w:ascii="Times New Roman" w:hAnsi="Times New Roman"/>
        </w:rPr>
      </w:pPr>
      <w:r>
        <w:rPr>
          <w:rFonts w:ascii="Times New Roman" w:hAnsi="Times New Roman"/>
          <w:i/>
        </w:rPr>
        <w:t>"Person"</w:t>
      </w:r>
      <w:r>
        <w:rPr>
          <w:rFonts w:ascii="Times New Roman" w:hAnsi="Times New Roman"/>
        </w:rPr>
        <w:t xml:space="preserve"> means an individual, partnership, corporation (including a business trust), joint stock company, trust, unincorporated association, joint venture, firm or other entity, or a govern</w:t>
        <w:softHyphen/>
        <w:t>ment or any political subdivision or agency, department or instrumentality thereof.</w:t>
      </w:r>
    </w:p>
    <w:p>
      <w:pPr>
        <w:pStyle w:val="Normal"/>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end="0"/>
        <w:jc w:val="both"/>
        <w:rPr>
          <w:rFonts w:ascii="Times New Roman" w:hAnsi="Times New Roman"/>
        </w:rPr>
      </w:pPr>
      <w:r>
        <w:rPr>
          <w:rFonts w:ascii="Times New Roman" w:hAnsi="Times New Roman"/>
          <w:i/>
        </w:rPr>
        <w:t>"Preferred Stock"</w:t>
      </w:r>
      <w:r>
        <w:rPr>
          <w:rFonts w:ascii="Times New Roman" w:hAnsi="Times New Roman"/>
        </w:rPr>
        <w:t xml:space="preserve"> means, as applied to any corporation, shares of such corporation which shall be entitled to preference or priority over any other shares of such corporation in respect of either the payment of dividends or the distribution of assets upon liquidation.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end="0"/>
        <w:jc w:val="both"/>
        <w:rPr>
          <w:rFonts w:ascii="Times New Roman" w:hAnsi="Times New Roman"/>
        </w:rPr>
      </w:pPr>
      <w:r>
        <w:rPr>
          <w:rFonts w:ascii="Times New Roman" w:hAnsi="Times New Roman"/>
          <w:i/>
        </w:rPr>
        <w:t>"Redeemable"</w:t>
      </w:r>
      <w:r>
        <w:rPr>
          <w:rFonts w:ascii="Times New Roman" w:hAnsi="Times New Roman"/>
        </w:rPr>
        <w:t xml:space="preserve"> means, as applied to any Preferred Stock, any Preferred Stock that (i) the issuer undertakes to redeem at a fixed or determinable date or dates (other than pursuant to the exercise of an option to redeem by the issuer, if the failure to exercise such option would not materially adversely affect the business, consolidated financial position or consolidated results of operations of the issuer and its subsidiaries taken as a whole), whether by operation of a sinking fund or otherwise, or upon the occurrence of a condition not solely within the control of the issuer, or (ii) is redeemable at the option of the holder.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end="0"/>
        <w:jc w:val="both"/>
        <w:rPr>
          <w:rFonts w:ascii="Times New Roman" w:hAnsi="Times New Roman"/>
        </w:rPr>
      </w:pPr>
      <w:r>
        <w:rPr>
          <w:rFonts w:ascii="Times New Roman" w:hAnsi="Times New Roman"/>
          <w:i/>
        </w:rPr>
        <w:t>"Regulated Subsidiary"</w:t>
      </w:r>
      <w:r>
        <w:rPr>
          <w:rFonts w:ascii="Times New Roman" w:hAnsi="Times New Roman"/>
        </w:rPr>
        <w:t xml:space="preserve"> means Transwestern Pipeline Company, Northern Natural Gas Company or any other Subsidiary regulated by FERC.</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end="0"/>
        <w:jc w:val="both"/>
        <w:rPr>
          <w:rFonts w:ascii="Times New Roman" w:hAnsi="Times New Roman"/>
        </w:rPr>
      </w:pPr>
      <w:r>
        <w:rPr>
          <w:rFonts w:ascii="Times New Roman" w:hAnsi="Times New Roman"/>
          <w:i/>
        </w:rPr>
        <w:t>"Release Certificate"</w:t>
      </w:r>
      <w:r>
        <w:rPr>
          <w:rFonts w:ascii="Times New Roman" w:hAnsi="Times New Roman"/>
        </w:rPr>
        <w:t xml:space="preserve"> means a writing in which (i) Seller requests the release of any Margin then held by Purchaser, provides delivery instructions with respect to such Margin and certifies to the satisfaction of Purchaser that no Trigger Event exists and (ii) the officer executing such writing on behalf of Seller certifies that to the actual knowledge of such officer (having made all due and proper inquiry) a Trigger Event is not expected to occur within the next 30 days.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end="0"/>
        <w:jc w:val="both"/>
        <w:rPr>
          <w:rFonts w:ascii="Times New Roman" w:hAnsi="Times New Roman"/>
        </w:rPr>
      </w:pPr>
      <w:r>
        <w:rPr>
          <w:rFonts w:ascii="Times New Roman" w:hAnsi="Times New Roman"/>
          <w:i/>
        </w:rPr>
        <w:t>"Revolving Credit Agreement"</w:t>
      </w:r>
      <w:r>
        <w:rPr>
          <w:rFonts w:ascii="Times New Roman" w:hAnsi="Times New Roman"/>
        </w:rPr>
        <w:t xml:space="preserve"> means that certain Revolving Credit Agreement dated as of May 18, 2000, among Enron, the banks named therein and Citibank, N.A. and The Chase Manhattan Bank, as Co-Administrative Agents for said banks, as such agreement may be amended or modified from time to time in accordance with its terms.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end="0"/>
        <w:jc w:val="both"/>
        <w:rPr>
          <w:rFonts w:ascii="Times New Roman" w:hAnsi="Times New Roman"/>
          <w:i/>
          <w:i/>
        </w:rPr>
      </w:pPr>
      <w:r>
        <w:rPr>
          <w:rFonts w:ascii="Times New Roman" w:hAnsi="Times New Roman"/>
        </w:rPr>
        <w:t>“</w:t>
      </w:r>
      <w:r>
        <w:rPr>
          <w:rFonts w:ascii="Times New Roman" w:hAnsi="Times New Roman"/>
          <w:i/>
        </w:rPr>
        <w:t>Securities</w:t>
      </w:r>
      <w:r>
        <w:rPr>
          <w:rFonts w:ascii="Times New Roman" w:hAnsi="Times New Roman"/>
        </w:rPr>
        <w:t xml:space="preserve">” means, instruments listed in Exhibit B hereto maintained in the form of an entry on the records of (i) the Federal Reserve Bank of New York pursuant to 31 C.F.R.§306.115 </w:t>
      </w:r>
      <w:r>
        <w:rPr>
          <w:rFonts w:ascii="Times New Roman" w:hAnsi="Times New Roman"/>
          <w:u w:val="single"/>
        </w:rPr>
        <w:t>et</w:t>
      </w:r>
      <w:r>
        <w:rPr>
          <w:rFonts w:ascii="Times New Roman" w:hAnsi="Times New Roman"/>
        </w:rPr>
        <w:t xml:space="preserve"> </w:t>
      </w:r>
      <w:r>
        <w:rPr>
          <w:rFonts w:ascii="Times New Roman" w:hAnsi="Times New Roman"/>
          <w:u w:val="single"/>
        </w:rPr>
        <w:t>seq.</w:t>
      </w:r>
      <w:r>
        <w:rPr>
          <w:rFonts w:ascii="Times New Roman" w:hAnsi="Times New Roman"/>
        </w:rPr>
        <w:t>, as may be amended from time to time, and any successor regulations thereto or (ii) any other central depository or clearing system acceptable to the Purchaser.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i/>
          <w:i/>
        </w:rPr>
      </w:pPr>
      <w:r>
        <w:rPr>
          <w:rFonts w:ascii="Times New Roman" w:hAnsi="Times New Roman"/>
          <w:i/>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end="0"/>
        <w:jc w:val="both"/>
        <w:rPr>
          <w:rFonts w:ascii="Times New Roman" w:hAnsi="Times New Roman"/>
        </w:rPr>
      </w:pPr>
      <w:r>
        <w:rPr>
          <w:rFonts w:ascii="Times New Roman" w:hAnsi="Times New Roman"/>
          <w:i/>
        </w:rPr>
        <w:t>"Subordinated Debt"</w:t>
      </w:r>
      <w:r>
        <w:rPr>
          <w:rFonts w:ascii="Times New Roman" w:hAnsi="Times New Roman"/>
        </w:rPr>
        <w:t xml:space="preserve"> means (i) the 8.25% Senior Subordinated Debentures due 2012 and the 6 ¾% Senior Subordinated Debentures due July 1, 2005 of Enron issued pursuant to the Indenture dated as of February 1, 1987 between Enron and NationsBank of Texas, N.A., as trustee, (ii) the obligations of Enron under the Loan Agreement dated as of November 15, 1993, between Enron and Enron Capital L.L.C., (iii) the obligations of Enron under the Loan Agreement dated as of August 3, 1994, between Enron and Enron Capital Resources, L.P., (iv) the 7.75% Subordinated Debentures due 2016 of Enron issued pursuant to the Indenture dated as of November 31, 1996 between Enron and The Chase Manhattan Bank, as Trustee, (v) the 7.75% Debentures due 2016, Series II of Enron issued pursuant to the Indenture dated as of January 16, 1997 between Enron and The Chase Manhattan Bank, as Trustee, (vi) Adjustable Rate Debentures, Series A issued pursuant to the Indenture dated as of June 6, 1997 between Enron and The Chase Manhattan Bank, as Indenture Trustee, and (vii) any Debt of Enron which is subordinate to any other obligations of Enron so long as (A) the terms of such Debt are (1) substantially similar to and no less favorable to the holders of Senior Indebtedness (as defined in such Indenture) than the terms of such Senior Subordinated Debentures due 2012 of Enron (and the parties confirm that it is their intention that all principal of and interest on the Advances constitute “Senior Indebtedness” for the purposes thereof), or (2) consented to by the Majority Banks as defined in the Revolving Credit Agreement (which consent will not be unreasonably withheld), and (B) no payments of principal shall be payable (whether by scheduled maturity, required prepayment, or otherwise, unless as a result of the acceleration of such Debt, in accordance with the terms thereof) under such Debt prior to June 1, 2005.</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end="0"/>
        <w:jc w:val="both"/>
        <w:rPr>
          <w:rFonts w:ascii="Times New Roman" w:hAnsi="Times New Roman"/>
        </w:rPr>
      </w:pPr>
      <w:r>
        <w:rPr>
          <w:rFonts w:ascii="Times New Roman" w:hAnsi="Times New Roman"/>
          <w:i/>
        </w:rPr>
        <w:t>"Subsidiary"</w:t>
      </w:r>
      <w:r>
        <w:rPr>
          <w:rFonts w:ascii="Times New Roman" w:hAnsi="Times New Roman"/>
        </w:rPr>
        <w:t xml:space="preserve"> of any Person means any corporation, partnership, joint venture, or other entity of which more than 50% of the outstanding capital stock or other equity interests having ordinary voting power (irrespective of whether or not at the time capital stock or other equity interest of any other class or classes of such corporation, partnership, joint venture, or other entity shall or might have voting power upon the occurrence of any contingency) is at the time owned directly or indirectly by such Person; provided, however, that no such corporation, partnership, joint venture or other entity shall (i) constitute a Subsidiary of Enron, unless such entity is a Consolidated Subsidiary of Enron, or (ii) constitute a Subsidiary of any other Person, unless such entity would appear as a consolidated subsidiary of such Person on a consolidated balance sheet of such Person prepared in accordance with GAAP.  Unless otherwise provided or the context otherwise requires, the term "Subsidiary" when used herein shall refer to a Subsidiary of Enron.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end="0"/>
        <w:jc w:val="both"/>
        <w:rPr>
          <w:rFonts w:ascii="Times New Roman" w:hAnsi="Times New Roman"/>
        </w:rPr>
      </w:pPr>
      <w:r>
        <w:rPr>
          <w:rFonts w:ascii="Times New Roman" w:hAnsi="Times New Roman"/>
          <w:i/>
        </w:rPr>
        <w:t>"Threshold Amount"</w:t>
      </w:r>
      <w:r>
        <w:rPr>
          <w:rFonts w:ascii="Times New Roman" w:hAnsi="Times New Roman"/>
        </w:rPr>
        <w:t xml:space="preserve"> means the amount under the heading "Threshold Amount" opposite the then current Standard &amp; Poors credit rating of Enron as set forth in Exhibit A hereto.</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end="0"/>
        <w:jc w:val="both"/>
        <w:rPr>
          <w:rFonts w:ascii="Times New Roman" w:hAnsi="Times New Roman"/>
        </w:rPr>
      </w:pPr>
      <w:r>
        <w:rPr>
          <w:rFonts w:ascii="Times New Roman" w:hAnsi="Times New Roman"/>
          <w:i/>
        </w:rPr>
        <w:t>"Total Capitalization"</w:t>
      </w:r>
      <w:r>
        <w:rPr>
          <w:rFonts w:ascii="Times New Roman" w:hAnsi="Times New Roman"/>
        </w:rPr>
        <w:t xml:space="preserve"> means, at any time, the sum (without duplication) of (i) Total Senior Debt, (ii) the total outstanding principal amount (or the book carrying amount of such Debt if issued at a discount) of Subordinated Debt of Enron and its Consolidated Subsidiaries, (iii) Consolidated Net Worth less any amount thereof attributable to "minority interests" (as defined below) and (iv) Redeemable Preferred Stock of Enron and its Consolidated Subsidiaries.  For purposes of this definition "minority interests" means any investment or interest of Enron in any corporation, partnership or other entity to the extent that the total amount thereof owned by Enron (directly or indirectly) constitutes 50% or less of all outstanding interests or investments in such corporation, partnership or entity.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end="0"/>
        <w:jc w:val="both"/>
        <w:rPr>
          <w:rFonts w:ascii="Times New Roman" w:hAnsi="Times New Roman"/>
        </w:rPr>
      </w:pPr>
      <w:r>
        <w:rPr>
          <w:rFonts w:ascii="Times New Roman" w:hAnsi="Times New Roman"/>
          <w:i/>
        </w:rPr>
        <w:t>"Total Market Exposure"</w:t>
      </w:r>
      <w:r>
        <w:rPr>
          <w:rFonts w:ascii="Times New Roman" w:hAnsi="Times New Roman"/>
        </w:rPr>
        <w:t xml:space="preserve"> means, at any given time, the sum, for all Fixed Undeliv</w:t>
        <w:softHyphen/>
        <w:t>ered Gas Volumes, of the products obtained by multiplying (i) the difference obtained by subtracting the Margin Reference Price for each Fixed Undelivered Gas Volume from the NYMEX Gas Price for that Fixed Undelivered Gas Volume by (ii) that Fixed Undelivered Gas Volume.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end="0"/>
        <w:jc w:val="both"/>
        <w:rPr>
          <w:rFonts w:ascii="Times New Roman" w:hAnsi="Times New Roman"/>
        </w:rPr>
      </w:pPr>
      <w:r>
        <w:rPr>
          <w:rFonts w:ascii="Times New Roman" w:hAnsi="Times New Roman"/>
          <w:i/>
        </w:rPr>
        <w:t>"Total Senior Debt"</w:t>
      </w:r>
      <w:r>
        <w:rPr>
          <w:rFonts w:ascii="Times New Roman" w:hAnsi="Times New Roman"/>
        </w:rPr>
        <w:t xml:space="preserve"> means, at any time, all Consolidated Debt of Enron and its Consolidated Subsidiaries other than Subordinated Debt.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end="0"/>
        <w:jc w:val="both"/>
        <w:rPr>
          <w:rFonts w:ascii="Times New Roman" w:hAnsi="Times New Roman"/>
        </w:rPr>
      </w:pPr>
      <w:r>
        <w:rPr>
          <w:rFonts w:ascii="Times New Roman" w:hAnsi="Times New Roman"/>
          <w:i/>
        </w:rPr>
        <w:t>"Trigger Event"</w:t>
      </w:r>
      <w:r>
        <w:rPr>
          <w:rFonts w:ascii="Times New Roman" w:hAnsi="Times New Roman"/>
        </w:rPr>
        <w:t xml:space="preserve"> means a situation in which (i) the ratio of (A) Total Senior Debt, to (B) Total Capitalization exceeds 65%, (ii) the Consolidated Tangible Net Worth is less than $1,500,000,000, or (iii) the Total Market Exposure exceeds the Threshold Amount.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0" w:end="0"/>
        <w:jc w:val="both"/>
        <w:rPr>
          <w:rFonts w:ascii="Times New Roman" w:hAnsi="Times New Roman"/>
        </w:rPr>
      </w:pPr>
      <w:r>
        <w:rPr>
          <w:rFonts w:ascii="Times New Roman" w:hAnsi="Times New Roman"/>
        </w:rPr>
        <w:t>(b)</w:t>
        <w:tab/>
      </w:r>
      <w:r>
        <w:rPr>
          <w:rFonts w:ascii="Times New Roman" w:hAnsi="Times New Roman"/>
          <w:i/>
        </w:rPr>
        <w:t>Margin Price Confirmation Letter</w:t>
      </w:r>
      <w:r>
        <w:rPr>
          <w:rFonts w:ascii="Times New Roman" w:hAnsi="Times New Roman"/>
        </w:rPr>
        <w:t>.  Concurrently with the execution of the Confirmation Letter, Purchaser and Seller shall agree upon and execute a Margin Price Confirmation Letter.  The Margin Price Confirmation Letter shall specify a mutually acceptable Margin Reference Price for each Delivery Month.</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0" w:end="0"/>
        <w:jc w:val="both"/>
        <w:rPr>
          <w:rFonts w:ascii="Times New Roman" w:hAnsi="Times New Roman"/>
        </w:rPr>
      </w:pPr>
      <w:r>
        <w:rPr>
          <w:rFonts w:ascii="Times New Roman" w:hAnsi="Times New Roman"/>
        </w:rPr>
        <w:t>2.</w:t>
        <w:tab/>
      </w:r>
      <w:r>
        <w:rPr>
          <w:rFonts w:ascii="Times New Roman" w:hAnsi="Times New Roman"/>
          <w:b/>
          <w:i/>
        </w:rPr>
        <w:t>Trigger Event; Delivery of Margin</w:t>
      </w:r>
      <w:r>
        <w:rPr>
          <w:rFonts w:ascii="Times New Roman" w:hAnsi="Times New Roman"/>
        </w:rPr>
        <w:t>.  If a Trigger Event occurs under clauses (i) or (ii) of the definition thereof, and the Calculated Exposure exceeds the Minimum Call, Seller shall deliver Margin with a Fair Market Value no less than the Calculated Exposure within 30 Business Days.  If a Trigger Event occurs under clause (iii) of the definition thereof and the Excess Market Exposure exceeds the Minimum Call, Seller shall deliver Margin with a Fair Market Value no less than the Excess Market Exposure within two Business Days.  Cash Margin delivered pursuant to this Agreement shall bear interest at the Interest Rate.  Notwithstanding the foregoing, if a Trigger Event occurs pursuant to more than one subpart of the definition thereof, Seller shall only be obligated to deliver the greater of the applicable Margin requirements calculated above.  As long as a Trigger Event continues under clauses (i) or (ii) of the definition thereof, Seller shall, on or before the 15th day of each calendar month, recalculate the Calculated Exposure as of the first day of such month and deliver additional Margin to the extent required above.  As long as a Trigger Event continues under clause (iii) of the definition thereof, Purchaser shall daily recalculate the Excess Market Exposure and immediately notify Seller of such recalculated Excess Market Exposure, and Seller shall deliver additional Margin to the extent required above.  All Margin required hereunder shall be delivered to the Purchaser and held by the Purchaser in accordance with the terms of this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0" w:end="0"/>
        <w:jc w:val="both"/>
        <w:rPr>
          <w:rFonts w:ascii="Times New Roman" w:hAnsi="Times New Roman"/>
        </w:rPr>
      </w:pPr>
      <w:r>
        <w:rPr>
          <w:rFonts w:ascii="Times New Roman" w:hAnsi="Times New Roman"/>
        </w:rPr>
        <w:t>3.</w:t>
        <w:tab/>
      </w:r>
      <w:r>
        <w:rPr>
          <w:rFonts w:ascii="Times New Roman" w:hAnsi="Times New Roman"/>
          <w:b/>
          <w:i/>
        </w:rPr>
        <w:t>Return and/or Release of Margin</w:t>
      </w:r>
      <w:r>
        <w:rPr>
          <w:rFonts w:ascii="Times New Roman" w:hAnsi="Times New Roman"/>
        </w:rPr>
        <w:t>.  At any time (including any time when a Trigger Event exists) when the Fair Market Value of the Margin then held by Purchaser exceeds the Margin required to be delivered pursuant to Section 2 hereof, Seller may request the return and/or release of Margin with a Fair Market Value equal to such excess by written request to the Purchaser specifying the Margin to be released, the basis for such request and delivery instructions.  Promptly upon receipt of such request and confirmation by it that the Fair Market Value of the Margin to be released is no greater than the amount by which the Fair Market Value of all Margin then held by Purchaser exceeds the Margin required to be delivered pursuant to Section 2 hereof, the Purchaser shall deliver the Margin to be released in accordance with such delivery instructions.  If Margin shall have been delivered under this Agreement and all Trigger Events shall cease to exist, upon receipt of a Release Certificate the Purchaser shall deliver any and all Margin then held by it under this Agreement in accordance with the delivery instructions set forth in such Release Certificate.  The security interest of the Purchaser in respect to particular items of Margin shall cease without the need for any further action on the part of the Purchaser upon delivery by the Purchaser of such Margin to Seller or a third person in accordance with the provisions of this Section 3.</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0" w:end="0"/>
        <w:jc w:val="both"/>
        <w:rPr>
          <w:rFonts w:ascii="Times New Roman" w:hAnsi="Times New Roman"/>
        </w:rPr>
      </w:pPr>
      <w:r>
        <w:rPr>
          <w:rFonts w:ascii="Times New Roman" w:hAnsi="Times New Roman"/>
        </w:rPr>
        <w:t>4.</w:t>
        <w:tab/>
      </w:r>
      <w:r>
        <w:rPr>
          <w:rFonts w:ascii="Times New Roman" w:hAnsi="Times New Roman"/>
          <w:b/>
          <w:i/>
        </w:rPr>
        <w:t>Substitution of Margin</w:t>
      </w:r>
      <w:r>
        <w:rPr>
          <w:rFonts w:ascii="Times New Roman" w:hAnsi="Times New Roman"/>
        </w:rPr>
        <w:t xml:space="preserve">.  As long as the Fair Market Value of all Margin then held by Purchaser is no less than the Margin required to be delivered pursuant to Section 2 above, Seller may obtain the release of all or any portion of the Margin then held by the Purchaser by delivering Margin (herein called </w:t>
      </w:r>
      <w:r>
        <w:rPr>
          <w:rFonts w:ascii="Times New Roman" w:hAnsi="Times New Roman"/>
          <w:i/>
        </w:rPr>
        <w:t>"Replacement Margin"</w:t>
      </w:r>
      <w:r>
        <w:rPr>
          <w:rFonts w:ascii="Times New Roman" w:hAnsi="Times New Roman"/>
        </w:rPr>
        <w:t>) with a Fair Market Value no less than the Margin to be released.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0" w:end="0"/>
        <w:jc w:val="both"/>
        <w:rPr>
          <w:rFonts w:ascii="Times New Roman" w:hAnsi="Times New Roman"/>
        </w:rPr>
      </w:pPr>
      <w:r>
        <w:rPr>
          <w:rFonts w:ascii="Times New Roman" w:hAnsi="Times New Roman"/>
        </w:rPr>
        <w:t>5.</w:t>
        <w:tab/>
      </w:r>
      <w:r>
        <w:rPr>
          <w:rFonts w:ascii="Times New Roman" w:hAnsi="Times New Roman"/>
          <w:b/>
          <w:i/>
        </w:rPr>
        <w:t>Proceeds of Margin</w:t>
      </w:r>
      <w:r>
        <w:rPr>
          <w:rFonts w:ascii="Times New Roman" w:hAnsi="Times New Roman"/>
          <w:b/>
        </w:rPr>
        <w:t>.</w:t>
      </w:r>
      <w:r>
        <w:rPr>
          <w:rFonts w:ascii="Times New Roman" w:hAnsi="Times New Roman"/>
        </w:rPr>
        <w:t xml:space="preserve">  All monies and other items received, paid or payable on or in respect of any item included in the Margin shall be held by the Purchaser as additional Margin, subject to the rights of Seller to the release of Margin under this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0" w:end="0"/>
        <w:jc w:val="both"/>
        <w:rPr>
          <w:rFonts w:ascii="Times New Roman" w:hAnsi="Times New Roman"/>
        </w:rPr>
      </w:pPr>
      <w:r>
        <w:rPr>
          <w:rFonts w:ascii="Times New Roman" w:hAnsi="Times New Roman"/>
        </w:rPr>
        <w:t>6.</w:t>
        <w:tab/>
      </w:r>
      <w:r>
        <w:rPr>
          <w:rFonts w:ascii="Times New Roman" w:hAnsi="Times New Roman"/>
          <w:b/>
          <w:i/>
        </w:rPr>
        <w:t>Maintenance</w:t>
      </w:r>
      <w:r>
        <w:rPr>
          <w:rFonts w:ascii="Times New Roman" w:hAnsi="Times New Roman"/>
          <w:b/>
        </w:rPr>
        <w:t>.</w:t>
      </w:r>
      <w:r>
        <w:rPr>
          <w:rFonts w:ascii="Times New Roman" w:hAnsi="Times New Roman"/>
        </w:rPr>
        <w:t xml:space="preserve">  Purchaser agrees that it will cause all Margin received from Seller to be held in one or more accounts (each, a </w:t>
      </w:r>
      <w:r>
        <w:rPr>
          <w:rFonts w:ascii="Times New Roman" w:hAnsi="Times New Roman"/>
          <w:i/>
        </w:rPr>
        <w:t>"Collateral Account"</w:t>
      </w:r>
      <w:r>
        <w:rPr>
          <w:rFonts w:ascii="Times New Roman" w:hAnsi="Times New Roman"/>
        </w:rPr>
        <w:t xml:space="preserve">) with a domestic office of a commercial bank or trust company organized under the laws of the United States or a political subdivision thereof having assets of at least $1 Billion (a </w:t>
      </w:r>
      <w:r>
        <w:rPr>
          <w:rFonts w:ascii="Times New Roman" w:hAnsi="Times New Roman"/>
          <w:i/>
        </w:rPr>
        <w:t>"Qualified Institution"</w:t>
      </w:r>
      <w:r>
        <w:rPr>
          <w:rFonts w:ascii="Times New Roman" w:hAnsi="Times New Roman"/>
        </w:rPr>
        <w:t>) which Qualified Institution shall be chosen by the Purchaser (except as provided in clause (b) below) and may be the Purchaser itself (provided the Purchaser qualifies as a Qualified Institution), each of which accounts will bear a title indicating that the property in such account is being held as collateral and not as property of the Qualified Institution, but which account may include property of other parties.  It is understood and agreed that the Purchaser shall have no interest in the Margin except the security interest granted in Section 7 of this Agreement until it has acquired some greater interest by exercise of its rights pursuant to Section 8 of this Agreement.  The Seller shall have the right at any time upon three Business Days notice to require (a) the segregation of all Margin provided by the Seller in an appropriately labeled separate account (including, but not limited to, a separate account in the trust department of the Qualified Institution, provided that the Seller shall pay the expenses of establishing and maintaining such a trust department account), or (b) the transfer of all Margin to a Qualified Institution (other than the Seller) nominated and paid for by the Seller, which shall serve as custodian for the Margin on behalf of the Purchaser (in accordance with documentation satisfactory in form and substance to the Purchaser).  Purchaser shall cause statements concerning the Margin held in each Collateral Account to be delivered to the Seller on request, which may be made no more frequently than monthly.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0" w:end="0"/>
        <w:jc w:val="both"/>
        <w:rPr>
          <w:rFonts w:ascii="Times New Roman" w:hAnsi="Times New Roman"/>
        </w:rPr>
      </w:pPr>
      <w:r>
        <w:rPr>
          <w:rFonts w:ascii="Times New Roman" w:hAnsi="Times New Roman"/>
        </w:rPr>
        <w:t>7.</w:t>
        <w:tab/>
      </w:r>
      <w:r>
        <w:rPr>
          <w:rFonts w:ascii="Times New Roman" w:hAnsi="Times New Roman"/>
          <w:b/>
          <w:i/>
        </w:rPr>
        <w:t>Security Interest</w:t>
      </w:r>
      <w:r>
        <w:rPr>
          <w:rFonts w:ascii="Times New Roman" w:hAnsi="Times New Roman"/>
        </w:rPr>
        <w:t>.  As security for all Payment Obligations due or that may become due from Seller to Purchaser, Seller hereby grants to the Purchaser a security interest in all Margin from time to time delivered to the Purchaser pursuant to this Agreement and all proceeds thereof, additions thereto and substitutions therefor.  Upon the request of Purchaser, Seller will execute and deliver such other instruments or documents and take such other actions, as may be necessary or desirable to perfect and/or maintain the perfection and priority of the security interests granted under this Section 7 and will provide Purchaser such legal opinions as reasonably may be requested regarding the authority of Seller to deliver Margin hereunder.  Seller hereby irrevocably constitutes and appoints Purchaser its true and lawful attorney-in-fact with full and irrevocable power and authority in the place and stead of Seller and in the name of Seller or the name of the Purchaser to take any and all appropriate action and execute and deliver any and all documents and instruments which may be necessary or desirable to accomplish the purposes of this Section 7, and without limiting the generality of the foregoing, Seller hereby gives Purchaser the power and right, on behalf of Seller, without prior notice to or assent of Seller, but with prompt notice thereafter to Seller, to do the following:</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end="0"/>
        <w:jc w:val="both"/>
        <w:rPr>
          <w:rFonts w:ascii="Times New Roman" w:hAnsi="Times New Roman"/>
        </w:rPr>
      </w:pPr>
      <w:r>
        <w:rPr>
          <w:rFonts w:ascii="Times New Roman" w:hAnsi="Times New Roman"/>
        </w:rPr>
        <w:t>(i)</w:t>
        <w:tab/>
        <w:t>indorse any note or other instrument included in the Margin whenever such indorsement is necessary or desirable for the perfection of the security interest in favor of the Purchaser in such Margin or the liquidation or transfer of such Margin;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end="0"/>
        <w:jc w:val="both"/>
        <w:rPr>
          <w:rFonts w:ascii="Times New Roman" w:hAnsi="Times New Roman"/>
        </w:rPr>
      </w:pPr>
      <w:r>
        <w:rPr>
          <w:rFonts w:ascii="Times New Roman" w:hAnsi="Times New Roman"/>
        </w:rPr>
        <w:t>(ii)</w:t>
        <w:tab/>
        <w:t>execute and deliver any document in connection with any Margin delivered hereunder whenever the execution and delivery of such document is necessary or desirable for the perfection of the security interest in favor of the Purchaser in such Margin or the liquidation or transfer of such Margin;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end="0"/>
        <w:jc w:val="both"/>
        <w:rPr>
          <w:rFonts w:ascii="Times New Roman" w:hAnsi="Times New Roman"/>
        </w:rPr>
      </w:pPr>
      <w:r>
        <w:rPr>
          <w:rFonts w:ascii="Times New Roman" w:hAnsi="Times New Roman"/>
        </w:rPr>
        <w:t>(iii)</w:t>
        <w:tab/>
        <w:t>upon the failure of Seller timely to pay any Payment Obligation:  (A) direct any Person liable for any payment under any of the Margin to make payment of any and all moneys due or to become due thereunder directly to the Purchaser; (B) ask or demand for, collect, receive payment of and receipt for, any and all moneys, claims and other amounts due or to become due in respect of the Margin; (C) sign and indorse the name of Seller on any checks or other instruments given in payment or part payment of or in respect of any Margin; (D) commence and prosecute any suits, actions or proceedings at law or in equity in any court of competent jurisdiction to collect the Margin or any part thereof and to enforce any other right in respect of the Margin; (E) defend any suit, action or proceeding brought against Seller with respect to the Margin; (F) settle, compromise or adjust any suit, action or proceeding described in the preceding clause (E) and, in connection therewith, give such discharges or releases as the Purchaser may deem appropriate; and (G) sell, transfer, pledge and make any agreement with respect to or otherwise deal with any of the Margin as fully and completely as though the Purchaser were the absolute owner thereof for all purposes and do, at Seller's expense, at any time and from time to time, all acts and things necessary to protect, preserve or realize upon the Margin and the security interest in favor of the Seller therein and to effect the intent of this Agreement, all as fully as Seller might do.</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t>The power of attorney conferred by this Section 7 is granted for a valuable consideration and is coupled with an interest and irrevocable so long as the Payment Obligations, or any part thereof, shall remain unpaid.  All Persons dealing with Purchaser, shall be fully protected in treating the powers and authorities conferred by this Section 7 as existing and continuing in full force and effect until advised by Purchaser that the Payment Obligations have been fully and finally paid and satisfied.  Purchaser and Seller hereby jointly and severally ratify all that said attorneys lawfully do or cause to be done by virtue hereof.</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bidi w:val="0"/>
        <w:ind w:hanging="0" w:start="0" w:end="0"/>
        <w:jc w:val="both"/>
        <w:rPr>
          <w:rFonts w:ascii="Times New Roman" w:hAnsi="Times New Roman"/>
          <w:b/>
          <w:u w:val="double"/>
        </w:rPr>
      </w:pPr>
      <w:r>
        <w:rPr>
          <w:rFonts w:ascii="Times New Roman" w:hAnsi="Times New Roman"/>
        </w:rPr>
        <w:tab/>
        <w:t>8</w:t>
      </w:r>
      <w:r>
        <w:rPr>
          <w:rFonts w:ascii="Times New Roman" w:hAnsi="Times New Roman"/>
          <w:b/>
          <w:u w:val="double"/>
        </w:rPr>
        <w:t>.</w:t>
      </w:r>
      <w:r>
        <w:rPr>
          <w:rFonts w:ascii="Times New Roman" w:hAnsi="Times New Roman"/>
        </w:rPr>
        <w:tab/>
      </w:r>
      <w:r>
        <w:rPr>
          <w:rFonts w:ascii="Times New Roman" w:hAnsi="Times New Roman"/>
          <w:b/>
          <w:i/>
          <w:u w:val="double"/>
        </w:rPr>
        <w:t>Rehypothecation</w:t>
      </w:r>
      <w:r>
        <w:rPr>
          <w:rFonts w:ascii="Times New Roman" w:hAnsi="Times New Roman"/>
          <w:b/>
          <w:u w:val="double"/>
        </w:rPr>
        <w:t>.  Without otherwise limiting the rights and obligations of the parties hereunder, if no Event of Default has occurred or been designated with respect to the Purchaser, then the Purchaser will, notwithstanding Section 9-207 of the New York Uniform Commercial Code, have the right to (i) sell, pledge, rehypothecate, assign, invest, use or otherwise dispose of, or otherwise use in its business any Margin provided by Seller it holds, free from any claim or right of any nature whatsoever of the Seller, including any equity or right of redemption by the Seller, other than the rights explicitly set forth elsewhere herein; and (ii) register any Margin in the name of the Purchaser, its assignee or a nominee for either. Notwithstanding the foregoing, the Purchaser will be deemed to continue to hold all Margin (or, if Purchaser sells, uses or disposes of such Margin in accordance with this Section, then an amount of cash or substitute Margin equal to the Fair Market Value of such Margin as of the date of such sale, use or disposition) and to receive all principal, interest and other payments and distributions of cash or other property with respect thereto, regardless of whether the Purchaser has exercised any rights with respect to Margin pursuant to (i) or (ii) above.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b/>
          <w:u w:val="double"/>
        </w:rPr>
      </w:pPr>
      <w:r>
        <w:rPr>
          <w:rFonts w:ascii="Times New Roman" w:hAnsi="Times New Roman"/>
          <w:b/>
          <w:u w:val="doub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0" w:end="0"/>
        <w:jc w:val="both"/>
        <w:rPr>
          <w:rFonts w:ascii="Times New Roman" w:hAnsi="Times New Roman"/>
        </w:rPr>
      </w:pPr>
      <w:r>
        <w:rPr>
          <w:rFonts w:ascii="Times New Roman" w:hAnsi="Times New Roman"/>
          <w:b/>
          <w:u w:val="double"/>
        </w:rPr>
        <w:t>9</w:t>
      </w:r>
      <w:r>
        <w:rPr>
          <w:rFonts w:ascii="Times New Roman" w:hAnsi="Times New Roman"/>
        </w:rPr>
        <w:t>.</w:t>
        <w:tab/>
      </w:r>
      <w:r>
        <w:rPr>
          <w:rFonts w:ascii="Times New Roman" w:hAnsi="Times New Roman"/>
          <w:b/>
          <w:i/>
        </w:rPr>
        <w:t>Failure of Payment</w:t>
      </w:r>
      <w:r>
        <w:rPr>
          <w:rFonts w:ascii="Times New Roman" w:hAnsi="Times New Roman"/>
        </w:rPr>
        <w:t>.  Upon the failure of Seller timely to pay any Payment Obligation, the Purchaser may, and shall if so directed by Seller, liquidate any non-cash Margin, including any time deposits, in a commercially reasonable manner and apply any cash Margin, including the proceeds of any such non-cash Margin, to the Payment Obligations then due in such order as the Purchaser may direct.  The rights and remedies of Purchaser under this Agreement shall be cumulative to all other rights and remedies available to Purchaser at law, and the exercise or partial exercise of any such right or remedy shall not preclude the exercise of any other right or remedy.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strike/>
        </w:rPr>
        <w:t>9</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0" w:end="0"/>
        <w:jc w:val="both"/>
        <w:rPr>
          <w:rFonts w:ascii="Times New Roman" w:hAnsi="Times New Roman"/>
        </w:rPr>
      </w:pPr>
      <w:r>
        <w:rPr>
          <w:rFonts w:ascii="Times New Roman" w:hAnsi="Times New Roman"/>
          <w:b/>
          <w:u w:val="double"/>
        </w:rPr>
        <w:t>10</w:t>
      </w:r>
      <w:r>
        <w:rPr>
          <w:rFonts w:ascii="Times New Roman" w:hAnsi="Times New Roman"/>
        </w:rPr>
        <w:t>.</w:t>
        <w:tab/>
      </w:r>
      <w:r>
        <w:rPr>
          <w:rFonts w:ascii="Times New Roman" w:hAnsi="Times New Roman"/>
          <w:b/>
          <w:i/>
        </w:rPr>
        <w:t>Miscellaneous</w:t>
      </w:r>
      <w:r>
        <w:rPr>
          <w:rFonts w:ascii="Times New Roman" w:hAnsi="Times New Roman"/>
        </w:rPr>
        <w:t>.</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end="0"/>
        <w:jc w:val="both"/>
        <w:rPr>
          <w:rFonts w:ascii="Times New Roman" w:hAnsi="Times New Roman"/>
        </w:rPr>
      </w:pPr>
      <w:r>
        <w:rPr>
          <w:rFonts w:ascii="Times New Roman" w:hAnsi="Times New Roman"/>
        </w:rPr>
        <w:t>(a)</w:t>
        <w:tab/>
      </w:r>
      <w:r>
        <w:rPr>
          <w:rFonts w:ascii="Times New Roman" w:hAnsi="Times New Roman"/>
          <w:i/>
        </w:rPr>
        <w:t>Notices</w:t>
      </w:r>
      <w:r>
        <w:rPr>
          <w:rFonts w:ascii="Times New Roman" w:hAnsi="Times New Roman"/>
        </w:rPr>
        <w:t xml:space="preserve">. All notices and other communications provided for hereunder shall be in writing and mailed, </w:t>
        <w:softHyphen/>
        <w:t>delivered or telecopied: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720" w:end="0"/>
        <w:jc w:val="both"/>
        <w:rPr>
          <w:rFonts w:ascii="Times New Roman" w:hAnsi="Times New Roman"/>
        </w:rPr>
      </w:pPr>
      <w:r>
        <w:rPr>
          <w:rFonts w:ascii="Times New Roman" w:hAnsi="Times New Roman"/>
        </w:rPr>
        <w:t>If to Seller, to:</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start="0" w:end="0"/>
        <w:jc w:val="both"/>
        <w:rPr>
          <w:rFonts w:ascii="Times New Roman" w:hAnsi="Times New Roman"/>
        </w:rPr>
      </w:pPr>
      <w:r>
        <w:rPr>
          <w:rFonts w:ascii="Times New Roman" w:hAnsi="Times New Roman"/>
        </w:rPr>
        <w:t>Enron North America Corp.</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start="0" w:end="0"/>
        <w:jc w:val="both"/>
        <w:rPr>
          <w:rFonts w:ascii="Times New Roman" w:hAnsi="Times New Roman"/>
        </w:rPr>
      </w:pPr>
      <w:r>
        <w:rPr>
          <w:rFonts w:ascii="Times New Roman" w:hAnsi="Times New Roman"/>
        </w:rPr>
        <w:t>1400 Smith Street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start="0" w:end="0"/>
        <w:jc w:val="both"/>
        <w:rPr>
          <w:rFonts w:ascii="Times New Roman" w:hAnsi="Times New Roman"/>
        </w:rPr>
      </w:pPr>
      <w:r>
        <w:rPr>
          <w:rFonts w:ascii="Times New Roman" w:hAnsi="Times New Roman"/>
        </w:rPr>
        <w:t>Houston, Texas 77002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start="0" w:end="0"/>
        <w:jc w:val="both"/>
        <w:rPr>
          <w:rFonts w:ascii="Times New Roman" w:hAnsi="Times New Roman"/>
        </w:rPr>
      </w:pPr>
      <w:r>
        <w:rPr>
          <w:rFonts w:ascii="Times New Roman" w:hAnsi="Times New Roman"/>
        </w:rPr>
        <w:t>Attention:</w:t>
        <w:tab/>
        <w:t>Documentation and Deal Clearing</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start="0" w:end="0"/>
        <w:jc w:val="both"/>
        <w:rPr>
          <w:rFonts w:ascii="Times New Roman" w:hAnsi="Times New Roman"/>
        </w:rPr>
      </w:pPr>
      <w:r>
        <w:rPr>
          <w:rFonts w:ascii="Times New Roman" w:hAnsi="Times New Roman"/>
        </w:rPr>
        <w:t>Telecopy No.:</w:t>
        <w:tab/>
        <w:t>(713) 646-4816 and (713) 646-4818</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start="0" w:end="0"/>
        <w:jc w:val="both"/>
        <w:rPr>
          <w:rFonts w:ascii="Times New Roman" w:hAnsi="Times New Roman"/>
        </w:rPr>
      </w:pPr>
      <w:r>
        <w:rPr>
          <w:rFonts w:ascii="Times New Roman" w:hAnsi="Times New Roman"/>
        </w:rPr>
        <w:t>with copy to:</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fldChar w:fldCharType="begin"/>
      </w:r>
      <w:r>
        <w:rPr/>
        <w:instrText xml:space="preserve">ADVANCE \d7</w:instrText>
      </w:r>
      <w:r>
        <w:rPr/>
      </w:r>
      <w:r>
        <w:rPr/>
        <w:fldChar w:fldCharType="separate"/>
      </w:r>
      <w:r>
        <w:rPr/>
      </w:r>
      <w:r>
        <w:rPr/>
      </w:r>
      <w:r>
        <w:rPr/>
        <w:fldChar w:fldCharType="end"/>
      </w:r>
      <w:r>
        <w:rPr>
          <w:rFonts w:ascii="Times New Roman" w:hAnsi="Times New Roman"/>
        </w:rPr>
        <w:tab/>
        <w:tab/>
        <w:tab/>
        <w:t>Enron Corp.</w:t>
        <w:tab/>
        <w:tab/>
        <w:tab/>
        <w:t>and</w:t>
        <w:tab/>
        <w:tab/>
        <w:t>Enron Corp.</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tab/>
        <w:tab/>
        <w:tab/>
        <w:t xml:space="preserve">1400 Smith Street </w:t>
        <w:tab/>
        <w:tab/>
        <w:tab/>
        <w:tab/>
        <w:t>1400 Smith Street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tab/>
        <w:tab/>
        <w:tab/>
        <w:t>Houston, Texas 77002</w:t>
        <w:tab/>
        <w:tab/>
        <w:tab/>
        <w:t>Houston, Texas 77002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tab/>
        <w:tab/>
        <w:tab/>
        <w:t>Attention:  Vice President, Finance</w:t>
        <w:tab/>
        <w:t xml:space="preserve"> </w:t>
        <w:tab/>
        <w:t>Attention:  Donna Lowry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tab/>
        <w:tab/>
        <w:tab/>
        <w:tab/>
        <w:t xml:space="preserve">       and Treasurer</w:t>
        <w:tab/>
        <w:tab/>
        <w:tab/>
        <w:t>Fax No.:   (713) 646-4039</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sz w:val="22"/>
        </w:rPr>
      </w:pPr>
      <w:r>
        <w:rPr>
          <w:rFonts w:ascii="Times New Roman" w:hAnsi="Times New Roman"/>
        </w:rPr>
        <w:tab/>
        <w:tab/>
        <w:tab/>
        <w:t>Fax No.:  (713) 646-3422</w:t>
        <w:tab/>
        <w:tab/>
        <w:tab/>
        <w:t xml:space="preserve">Telephone No.:  </w:t>
      </w:r>
      <w:r>
        <w:rPr>
          <w:rFonts w:ascii="Times New Roman" w:hAnsi="Times New Roman"/>
          <w:sz w:val="22"/>
        </w:rPr>
        <w:t>(713) 853-1939</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0" w:end="0"/>
        <w:jc w:val="both"/>
        <w:rPr>
          <w:rFonts w:ascii="Times New Roman" w:hAnsi="Times New Roman"/>
        </w:rPr>
      </w:pPr>
      <w:r>
        <w:rPr>
          <w:rFonts w:ascii="Times New Roman" w:hAnsi="Times New Roman"/>
        </w:rPr>
        <w:t>If to the Purchaser, to:</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0" w:end="0"/>
        <w:jc w:val="both"/>
        <w:rPr>
          <w:rFonts w:ascii="Times New Roman" w:hAnsi="Times New Roman"/>
        </w:rPr>
      </w:pPr>
      <w:r>
        <w:rPr>
          <w:rFonts w:ascii="Times New Roman" w:hAnsi="Times New Roman"/>
        </w:rPr>
      </w:r>
    </w:p>
    <w:p>
      <w:pPr>
        <w:pStyle w:val="Normal"/>
        <w:keepNext w:val="true"/>
        <w:bidi w:val="0"/>
        <w:spacing w:lineRule="exact" w:line="235"/>
        <w:ind w:firstLine="720" w:start="720" w:end="0"/>
        <w:jc w:val="both"/>
        <w:rPr>
          <w:rFonts w:ascii="Times New Roman" w:hAnsi="Times New Roman"/>
        </w:rPr>
      </w:pPr>
      <w:r>
        <w:rPr>
          <w:rFonts w:ascii="Times New Roman" w:hAnsi="Times New Roman"/>
        </w:rPr>
        <w:t>Mahonia Natural Gas Limited</w:t>
      </w:r>
    </w:p>
    <w:p>
      <w:pPr>
        <w:pStyle w:val="Normal"/>
        <w:keepNext w:val="true"/>
        <w:bidi w:val="0"/>
        <w:spacing w:lineRule="exact" w:line="235"/>
        <w:ind w:hanging="0" w:start="0" w:end="0"/>
        <w:jc w:val="both"/>
        <w:rPr>
          <w:rFonts w:ascii="Times New Roman" w:hAnsi="Times New Roman"/>
        </w:rPr>
      </w:pPr>
      <w:r>
        <w:rPr>
          <w:rFonts w:ascii="Times New Roman" w:hAnsi="Times New Roman"/>
        </w:rPr>
        <w:tab/>
        <w:tab/>
        <w:t>22 Grenville Street</w:t>
      </w:r>
    </w:p>
    <w:p>
      <w:pPr>
        <w:pStyle w:val="Normal"/>
        <w:keepNext w:val="true"/>
        <w:bidi w:val="0"/>
        <w:spacing w:lineRule="exact" w:line="235"/>
        <w:ind w:hanging="0" w:start="0" w:end="0"/>
        <w:jc w:val="both"/>
        <w:rPr>
          <w:rFonts w:ascii="Times New Roman" w:hAnsi="Times New Roman"/>
        </w:rPr>
      </w:pPr>
      <w:r>
        <w:rPr>
          <w:rFonts w:ascii="Times New Roman" w:hAnsi="Times New Roman"/>
        </w:rPr>
        <w:tab/>
        <w:tab/>
        <w:t>St. Helier</w:t>
      </w:r>
    </w:p>
    <w:p>
      <w:pPr>
        <w:pStyle w:val="Normal"/>
        <w:keepLines/>
        <w:bidi w:val="0"/>
        <w:spacing w:lineRule="exact" w:line="235"/>
        <w:ind w:firstLine="720" w:start="0" w:end="0"/>
        <w:jc w:val="both"/>
        <w:rPr>
          <w:rFonts w:ascii="Times New Roman" w:hAnsi="Times New Roman"/>
        </w:rPr>
      </w:pPr>
      <w:r>
        <w:rPr>
          <w:rFonts w:ascii="Times New Roman" w:hAnsi="Times New Roman"/>
        </w:rPr>
        <w:tab/>
        <w:t>Jersey, Channel Islands JE4 8PX</w:t>
      </w:r>
    </w:p>
    <w:p>
      <w:pPr>
        <w:pStyle w:val="Normal"/>
        <w:bidi w:val="0"/>
        <w:spacing w:lineRule="exact" w:line="235"/>
        <w:ind w:hanging="0" w:start="0" w:end="0"/>
        <w:jc w:val="both"/>
        <w:rPr>
          <w:rFonts w:ascii="Times New Roman" w:hAnsi="Times New Roman"/>
        </w:rPr>
      </w:pPr>
      <w:r>
        <w:rPr>
          <w:rFonts w:ascii="Times New Roman" w:hAnsi="Times New Roman"/>
        </w:rPr>
        <w:tab/>
        <w:tab/>
        <w:t>Attention:</w:t>
        <w:tab/>
        <w:t>Ian James</w:t>
      </w:r>
    </w:p>
    <w:p>
      <w:pPr>
        <w:pStyle w:val="Normal"/>
        <w:bidi w:val="0"/>
        <w:spacing w:lineRule="exact" w:line="235"/>
        <w:ind w:firstLine="720" w:start="0" w:end="0"/>
        <w:jc w:val="both"/>
        <w:rPr>
          <w:rFonts w:ascii="Times New Roman" w:hAnsi="Times New Roman"/>
        </w:rPr>
      </w:pPr>
      <w:r>
        <w:rPr>
          <w:rFonts w:ascii="Times New Roman" w:hAnsi="Times New Roman"/>
        </w:rPr>
        <w:tab/>
        <w:t>Telecopy No.:</w:t>
        <w:tab/>
        <w:t>44-1534-609333</w:t>
      </w:r>
    </w:p>
    <w:p>
      <w:pPr>
        <w:pStyle w:val="Normal"/>
        <w:bidi w:val="0"/>
        <w:spacing w:lineRule="exact" w:line="235"/>
        <w:ind w:firstLine="720" w:start="0" w:end="0"/>
        <w:jc w:val="both"/>
        <w:rPr>
          <w:rFonts w:ascii="Times New Roman" w:hAnsi="Times New Roman"/>
        </w:rPr>
      </w:pPr>
      <w:r>
        <w:rPr>
          <w:rFonts w:ascii="Times New Roman" w:hAnsi="Times New Roman"/>
        </w:rPr>
        <w:tab/>
        <w:t>Phone No.:</w:t>
        <w:tab/>
        <w:t>44-1534-609000</w:t>
      </w:r>
    </w:p>
    <w:p>
      <w:pPr>
        <w:pStyle w:val="Normal"/>
        <w:bidi w:val="0"/>
        <w:spacing w:lineRule="exact" w:line="235"/>
        <w:ind w:hanging="0" w:start="0" w:end="0"/>
        <w:jc w:val="both"/>
        <w:rPr>
          <w:rFonts w:ascii="Times New Roman" w:hAnsi="Times New Roman"/>
        </w:rPr>
      </w:pPr>
      <w:r>
        <w:rPr>
          <w:rFonts w:ascii="Times New Roman" w:hAnsi="Times New Roman"/>
        </w:rPr>
      </w:r>
    </w:p>
    <w:p>
      <w:pPr>
        <w:pStyle w:val="Normal"/>
        <w:keepNext w:val="true"/>
        <w:bidi w:val="0"/>
        <w:spacing w:lineRule="exact" w:line="235"/>
        <w:ind w:hanging="0" w:start="0" w:end="0"/>
        <w:jc w:val="both"/>
        <w:rPr>
          <w:rFonts w:ascii="Times New Roman" w:hAnsi="Times New Roman"/>
        </w:rPr>
      </w:pPr>
      <w:r>
        <w:rPr>
          <w:rFonts w:ascii="Times New Roman" w:hAnsi="Times New Roman"/>
        </w:rPr>
      </w:r>
    </w:p>
    <w:p>
      <w:pPr>
        <w:pStyle w:val="Normal"/>
        <w:keepNext w:val="true"/>
        <w:bidi w:val="0"/>
        <w:spacing w:lineRule="exact" w:line="235"/>
        <w:ind w:hanging="0" w:start="0" w:end="0"/>
        <w:jc w:val="both"/>
        <w:rPr>
          <w:rFonts w:ascii="Times New Roman" w:hAnsi="Times New Roman"/>
        </w:rPr>
      </w:pPr>
      <w:r>
        <w:rPr>
          <w:rFonts w:ascii="Times New Roman" w:hAnsi="Times New Roman"/>
        </w:rPr>
        <w:tab/>
        <w:tab/>
        <w:t>with copy to:</w:t>
      </w:r>
    </w:p>
    <w:p>
      <w:pPr>
        <w:pStyle w:val="Normal"/>
        <w:keepNext w:val="true"/>
        <w:bidi w:val="0"/>
        <w:spacing w:lineRule="exact" w:line="235"/>
        <w:ind w:hanging="0" w:start="0" w:end="0"/>
        <w:jc w:val="both"/>
        <w:rPr>
          <w:rFonts w:ascii="Times New Roman" w:hAnsi="Times New Roman"/>
        </w:rPr>
      </w:pPr>
      <w:r>
        <w:rPr>
          <w:rFonts w:ascii="Times New Roman" w:hAnsi="Times New Roman"/>
        </w:rPr>
      </w:r>
    </w:p>
    <w:p>
      <w:pPr>
        <w:pStyle w:val="Normal"/>
        <w:keepNext w:val="true"/>
        <w:bidi w:val="0"/>
        <w:spacing w:lineRule="exact" w:line="235"/>
        <w:ind w:firstLine="720" w:start="720" w:end="0"/>
        <w:jc w:val="both"/>
        <w:rPr>
          <w:rFonts w:ascii="Times New Roman" w:hAnsi="Times New Roman"/>
        </w:rPr>
      </w:pPr>
      <w:r>
        <w:rPr>
          <w:rFonts w:ascii="Times New Roman" w:hAnsi="Times New Roman"/>
        </w:rPr>
        <w:tab/>
        <w:t>The Chase Manhattan Bank</w:t>
      </w:r>
    </w:p>
    <w:p>
      <w:pPr>
        <w:pStyle w:val="Normal"/>
        <w:keepNext w:val="true"/>
        <w:bidi w:val="0"/>
        <w:spacing w:lineRule="exact" w:line="235"/>
        <w:ind w:hanging="0" w:start="0" w:end="0"/>
        <w:jc w:val="both"/>
        <w:rPr>
          <w:rFonts w:ascii="Times New Roman" w:hAnsi="Times New Roman"/>
        </w:rPr>
      </w:pPr>
      <w:r>
        <w:rPr>
          <w:rFonts w:ascii="Times New Roman" w:hAnsi="Times New Roman"/>
        </w:rPr>
        <w:tab/>
        <w:tab/>
        <w:tab/>
        <w:t>270 Park Avenue, 40th Floor</w:t>
      </w:r>
    </w:p>
    <w:p>
      <w:pPr>
        <w:pStyle w:val="Normal"/>
        <w:keepNext w:val="true"/>
        <w:bidi w:val="0"/>
        <w:spacing w:lineRule="exact" w:line="235"/>
        <w:ind w:hanging="0" w:start="0" w:end="0"/>
        <w:jc w:val="both"/>
        <w:rPr>
          <w:rFonts w:ascii="Times New Roman" w:hAnsi="Times New Roman"/>
        </w:rPr>
      </w:pPr>
      <w:r>
        <w:rPr>
          <w:rFonts w:ascii="Times New Roman" w:hAnsi="Times New Roman"/>
        </w:rPr>
        <w:tab/>
        <w:tab/>
        <w:tab/>
        <w:t>New York, New York 10017</w:t>
      </w:r>
    </w:p>
    <w:p>
      <w:pPr>
        <w:pStyle w:val="Normal"/>
        <w:keepLines/>
        <w:bidi w:val="0"/>
        <w:spacing w:lineRule="exact" w:line="235"/>
        <w:ind w:hanging="0" w:start="0" w:end="0"/>
        <w:jc w:val="both"/>
        <w:rPr>
          <w:rFonts w:ascii="Times New Roman" w:hAnsi="Times New Roman"/>
        </w:rPr>
      </w:pPr>
      <w:r>
        <w:rPr>
          <w:rFonts w:ascii="Times New Roman" w:hAnsi="Times New Roman"/>
        </w:rPr>
        <w:tab/>
        <w:tab/>
        <w:tab/>
        <w:t xml:space="preserve">Attention:  </w:t>
        <w:tab/>
        <w:t>Legal Department</w:t>
      </w:r>
    </w:p>
    <w:p>
      <w:pPr>
        <w:pStyle w:val="Normal"/>
        <w:bidi w:val="0"/>
        <w:spacing w:lineRule="exact" w:line="235"/>
        <w:ind w:hanging="0" w:start="0" w:end="0"/>
        <w:jc w:val="both"/>
        <w:rPr>
          <w:rFonts w:ascii="Times New Roman" w:hAnsi="Times New Roman"/>
        </w:rPr>
      </w:pPr>
      <w:r>
        <w:rPr>
          <w:rFonts w:ascii="Times New Roman" w:hAnsi="Times New Roman"/>
        </w:rPr>
        <w:tab/>
        <w:tab/>
        <w:tab/>
        <w:t>Telecopy No.:</w:t>
        <w:tab/>
        <w:t>(212) 270-7368</w:t>
      </w:r>
    </w:p>
    <w:p>
      <w:pPr>
        <w:pStyle w:val="Normal"/>
        <w:bidi w:val="0"/>
        <w:spacing w:lineRule="exact" w:line="235"/>
        <w:ind w:hanging="0" w:start="0" w:end="0"/>
        <w:jc w:val="both"/>
        <w:rPr>
          <w:rFonts w:ascii="Times New Roman" w:hAnsi="Times New Roman"/>
        </w:rPr>
      </w:pPr>
      <w:r>
        <w:fldChar w:fldCharType="begin"/>
      </w:r>
      <w:r>
        <w:rPr/>
        <w:instrText xml:space="preserve">ADVANCE \d7</w:instrText>
      </w:r>
      <w:r>
        <w:rPr/>
      </w:r>
      <w:r>
        <w:rPr/>
        <w:fldChar w:fldCharType="separate"/>
      </w:r>
      <w:r>
        <w:rPr/>
      </w:r>
      <w:r>
        <w:rPr/>
      </w:r>
      <w:r>
        <w:rPr/>
        <w:fldChar w:fldCharType="end"/>
      </w:r>
      <w:r>
        <w:rPr>
          <w:rFonts w:ascii="Times New Roman" w:hAnsi="Times New Roman"/>
        </w:rPr>
        <w:tab/>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720" w:end="0"/>
        <w:jc w:val="both"/>
        <w:rPr>
          <w:rFonts w:ascii="Times New Roman" w:hAnsi="Times New Roman"/>
        </w:rPr>
      </w:pPr>
      <w:r>
        <w:rPr>
          <w:rFonts w:ascii="Times New Roman" w:hAnsi="Times New Roman"/>
        </w:rPr>
        <w:t>All such notices and communications shall, if mailed, be effective three days after being deposited in the mails, if sent by telecopier, upon receipt of legible and complete copies by the receiving telecopier equipment; if sent by courier other than overnight courier, upon receipt; if sent by overnight courier, one Business Day after delivery to the courier company; provided, that telecopied communications received by any party after its normal business hours (or on other than a Business Day) shall be effective on the next Business Day.  Either party may change its address or telecopy number for receipt of communications hereunder by giving notice of such change to the other party in accordance with this Section 9(a).</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end="0"/>
        <w:jc w:val="both"/>
        <w:rPr>
          <w:rFonts w:ascii="Times New Roman" w:hAnsi="Times New Roman"/>
        </w:rPr>
      </w:pPr>
      <w:r>
        <w:rPr>
          <w:rFonts w:ascii="Times New Roman" w:hAnsi="Times New Roman"/>
        </w:rPr>
        <w:t>(b)</w:t>
        <w:tab/>
      </w:r>
      <w:r>
        <w:rPr>
          <w:rFonts w:ascii="Times New Roman" w:hAnsi="Times New Roman"/>
          <w:i/>
        </w:rPr>
        <w:t>Execution, Amendments, Binding Effect and Assignments</w:t>
      </w:r>
      <w:r>
        <w:rPr>
          <w:rFonts w:ascii="Times New Roman" w:hAnsi="Times New Roman"/>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1440" w:end="0"/>
        <w:jc w:val="both"/>
        <w:rPr>
          <w:rFonts w:ascii="Times New Roman" w:hAnsi="Times New Roman"/>
        </w:rPr>
      </w:pPr>
      <w:r>
        <w:rPr>
          <w:rFonts w:ascii="Times New Roman" w:hAnsi="Times New Roman"/>
        </w:rPr>
        <w:t>(i)</w:t>
        <w:tab/>
        <w:t>This Agreement may be executed in counterparts, each of which when executed and delivered shall be deemed to be an original and all of which taken together shall constitute but one and the same instrument.  No amendment, waiver, modification or supplement of any provision of this Agreement and no consent to any departure therefrom shall be effective unless in writing and signed by both parties or, in the case of a waiver or consent, by the party granting it.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1440" w:end="0"/>
        <w:jc w:val="both"/>
        <w:rPr>
          <w:rFonts w:ascii="Times New Roman" w:hAnsi="Times New Roman"/>
        </w:rPr>
      </w:pPr>
      <w:r>
        <w:rPr>
          <w:rFonts w:ascii="Times New Roman" w:hAnsi="Times New Roman"/>
        </w:rPr>
        <w:t>(ii)</w:t>
        <w:tab/>
        <w:t xml:space="preserve">Except as expressly provided in this Section 9(b)(ii), neither party may assign any rights or delegate any obligations hereunder without the prior written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1440" w:end="0"/>
        <w:jc w:val="both"/>
        <w:rPr>
          <w:rFonts w:ascii="Times New Roman" w:hAnsi="Times New Roman"/>
        </w:rPr>
      </w:pPr>
      <w:r>
        <w:rPr>
          <w:rFonts w:ascii="Times New Roman" w:hAnsi="Times New Roman"/>
        </w:rPr>
        <w:t xml:space="preserve">consent of the other party.  Without the consent of Seller, Purchaser may assign this Agreement as security for any financing or hedging provided to Purchaser.  Upon notice to the </w:t>
      </w:r>
      <w:r>
        <w:rPr>
          <w:rFonts w:ascii="Times New Roman" w:hAnsi="Times New Roman"/>
          <w:strike/>
        </w:rPr>
        <w:t>seller</w:t>
      </w:r>
      <w:r>
        <w:rPr>
          <w:rFonts w:ascii="Times New Roman" w:hAnsi="Times New Roman"/>
        </w:rPr>
        <w:t xml:space="preserve"> </w:t>
      </w:r>
      <w:r>
        <w:rPr>
          <w:rFonts w:ascii="Times New Roman" w:hAnsi="Times New Roman"/>
          <w:b/>
          <w:u w:val="double"/>
        </w:rPr>
        <w:t>Seller</w:t>
      </w:r>
      <w:r>
        <w:rPr>
          <w:rFonts w:ascii="Times New Roman" w:hAnsi="Times New Roman"/>
        </w:rPr>
        <w:t xml:space="preserve"> of the foreclosure upon this Agreement, </w:t>
      </w:r>
      <w:r>
        <w:rPr>
          <w:rFonts w:ascii="Times New Roman" w:hAnsi="Times New Roman"/>
          <w:strike/>
        </w:rPr>
        <w:t>seller</w:t>
      </w:r>
      <w:r>
        <w:rPr>
          <w:rFonts w:ascii="Times New Roman" w:hAnsi="Times New Roman"/>
        </w:rPr>
        <w:t xml:space="preserve"> </w:t>
      </w:r>
      <w:r>
        <w:rPr>
          <w:rFonts w:ascii="Times New Roman" w:hAnsi="Times New Roman"/>
          <w:b/>
          <w:u w:val="double"/>
        </w:rPr>
        <w:t>Seller</w:t>
      </w:r>
      <w:r>
        <w:rPr>
          <w:rFonts w:ascii="Times New Roman" w:hAnsi="Times New Roman"/>
        </w:rPr>
        <w:t xml:space="preserve"> will agree to substitute the secured party or other purchaser for Purchaser hereunder.  Without the consent of Purchaser, Seller may (A) assign this Agreement to any direct or indirect wholly owned subsidiary of Enron or (B) merge with any direct or indirect wholly owned subsidiary of Enron; provided, however, that (1) such subsidiary agrees to assume all obligations under this Agreement and the Forward Sale Contract, (2) such subsidiary is a corporation incorporated under the laws of a state in the United States and (3) the Guaranty Agreement remains in effect.  Upon notice to Purchaser of any such assignment or merger, Purchaser agrees to substitute such assignee or successor corporation for Seller hereunder.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end="0"/>
        <w:jc w:val="both"/>
        <w:rPr>
          <w:rFonts w:ascii="Times New Roman" w:hAnsi="Times New Roman"/>
        </w:rPr>
      </w:pPr>
      <w:r>
        <w:rPr>
          <w:rFonts w:ascii="Times New Roman" w:hAnsi="Times New Roman"/>
        </w:rPr>
        <w:t>(c)</w:t>
        <w:tab/>
      </w:r>
      <w:r>
        <w:rPr>
          <w:rFonts w:ascii="Times New Roman" w:hAnsi="Times New Roman"/>
          <w:i/>
        </w:rPr>
        <w:t>Entire Agreement</w:t>
      </w:r>
      <w:r>
        <w:rPr>
          <w:rFonts w:ascii="Times New Roman" w:hAnsi="Times New Roman"/>
        </w:rPr>
        <w:t>.  This Agreement constitutes the entire agreement between the parties relating to the subject matter hereof and supersedes all prior communications or agreements between the parties relating thereto.</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end="0"/>
        <w:jc w:val="both"/>
        <w:rPr>
          <w:rFonts w:ascii="Times New Roman" w:hAnsi="Times New Roman"/>
        </w:rPr>
      </w:pPr>
      <w:r>
        <w:rPr>
          <w:rFonts w:ascii="Times New Roman" w:hAnsi="Times New Roman"/>
        </w:rPr>
        <w:t>(d)</w:t>
        <w:tab/>
      </w:r>
      <w:r>
        <w:rPr>
          <w:rFonts w:ascii="Times New Roman" w:hAnsi="Times New Roman"/>
          <w:i/>
        </w:rPr>
        <w:t>Governing Law</w:t>
      </w:r>
      <w:r>
        <w:rPr>
          <w:rFonts w:ascii="Times New Roman" w:hAnsi="Times New Roman"/>
        </w:rPr>
        <w:t>.  This Agreement shall be governed by and construed in accor</w:t>
        <w:softHyphen/>
        <w:t>dance with the law of the State of New York, without giving effect to principles of conflicts of law that would result in the application of the laws of another jurisdiction.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end="0"/>
        <w:jc w:val="both"/>
        <w:rPr>
          <w:rFonts w:ascii="Times New Roman" w:hAnsi="Times New Roman"/>
        </w:rPr>
      </w:pPr>
      <w:r>
        <w:rPr>
          <w:rFonts w:ascii="Times New Roman" w:hAnsi="Times New Roman"/>
        </w:rPr>
        <w:t>(e)</w:t>
        <w:tab/>
      </w:r>
      <w:r>
        <w:rPr>
          <w:rFonts w:ascii="Times New Roman" w:hAnsi="Times New Roman"/>
          <w:i/>
        </w:rPr>
        <w:t>Invalidity; Unenforceability</w:t>
      </w:r>
      <w:r>
        <w:rPr>
          <w:rFonts w:ascii="Times New Roman" w:hAnsi="Times New Roman"/>
        </w:rPr>
        <w:t>.  In the event that any one or more of the provisions contained in this Agreement shall, for any reason, be held invalid, illegal or unenforceable in any respect, such invalidity, illegality or unenforceability shall not affect any other provision of this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end="0"/>
        <w:jc w:val="center"/>
        <w:rPr>
          <w:rFonts w:ascii="Times New Roman" w:hAnsi="Times New Roman"/>
        </w:rPr>
      </w:pPr>
      <w:r>
        <w:rPr>
          <w:rFonts w:ascii="Times New Roman" w:hAnsi="Times New Roman"/>
        </w:rPr>
        <w:t>[Remainder of Page Intentionally Left Blank]</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end="0"/>
        <w:jc w:val="both"/>
        <w:rPr>
          <w:rFonts w:ascii="Times New Roman" w:hAnsi="Times New Roman"/>
        </w:rPr>
      </w:pPr>
      <w:r>
        <w:rPr>
          <w:rFonts w:ascii="Times New Roman" w:hAnsi="Times New Roman"/>
        </w:rPr>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1440" w:top="1497" w:footer="720" w:bottom="777"/>
          <w:pgNumType w:fmt="decimal"/>
          <w:formProt w:val="false"/>
          <w:textDirection w:val="lrTb"/>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0" w:end="0"/>
        <w:jc w:val="both"/>
        <w:rPr>
          <w:rFonts w:ascii="Times New Roman" w:hAnsi="Times New Roman"/>
        </w:rPr>
      </w:pPr>
      <w:r>
        <w:rPr>
          <w:rFonts w:ascii="Times New Roman" w:hAnsi="Times New Roman"/>
        </w:rPr>
        <w:t>IN WITNESS WHEREOF, the parties hereto have executed this Agreement as of the date first above written.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4320" w:start="0" w:end="0"/>
        <w:jc w:val="both"/>
        <w:rPr>
          <w:rFonts w:ascii="Times New Roman" w:hAnsi="Times New Roman"/>
        </w:rPr>
      </w:pPr>
      <w:r>
        <w:rPr>
          <w:rFonts w:ascii="Times New Roman" w:hAnsi="Times New Roman"/>
        </w:rPr>
        <w:t>ENRON NORTH AMERICA CORP.</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ind w:firstLine="4320" w:start="0" w:end="0"/>
        <w:jc w:val="both"/>
        <w:rPr>
          <w:rFonts w:ascii="Times New Roman" w:hAnsi="Times New Roman"/>
        </w:rPr>
      </w:pPr>
      <w:r>
        <w:rPr>
          <w:rFonts w:ascii="Times New Roman" w:hAnsi="Times New Roman"/>
        </w:rPr>
        <w:t>By:</w:t>
      </w:r>
      <w:r>
        <w:rPr>
          <w:rFonts w:ascii="Times New Roman" w:hAnsi="Times New Roman"/>
          <w:u w:val="single"/>
        </w:rPr>
        <w:t xml:space="preserve">                                                                              </w:t>
      </w:r>
      <w:r>
        <w:fldChar w:fldCharType="begin"/>
      </w:r>
      <w:r>
        <w:rPr>
          <w:u w:val="single"/>
          <w:rFonts w:ascii="Times New Roman" w:hAnsi="Times New Roman"/>
        </w:rPr>
        <w:instrText xml:space="preserve">ADVANCE \x468</w:instrText>
      </w:r>
      <w:r>
        <w:rPr>
          <w:rFonts w:ascii="Times New Roman" w:hAnsi="Times New Roman"/>
          <w:u w:val="single"/>
        </w:rPr>
      </w:r>
      <w:r>
        <w:rPr>
          <w:u w:val="single"/>
          <w:rFonts w:ascii="Times New Roman" w:hAnsi="Times New Roman"/>
        </w:rPr>
        <w:fldChar w:fldCharType="separate"/>
      </w:r>
      <w:r>
        <w:rPr>
          <w:rFonts w:ascii="Times New Roman" w:hAnsi="Times New Roman"/>
          <w:u w:val="single"/>
        </w:rPr>
      </w:r>
      <w:r/>
      <w:r>
        <w:rPr>
          <w:u w:val="single"/>
          <w:rFonts w:ascii="Times New Roman" w:hAnsi="Times New Roman"/>
        </w:rPr>
        <w:fldChar w:fldCharType="end"/>
      </w:r>
      <w:r>
        <w:rPr>
          <w:rFonts w:ascii="Times New Roman" w:hAnsi="Times New Roman"/>
          <w:u w:val="sing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ind w:firstLine="4320" w:start="0" w:end="0"/>
        <w:jc w:val="both"/>
        <w:rPr>
          <w:rFonts w:ascii="Times New Roman" w:hAnsi="Times New Roman"/>
        </w:rPr>
      </w:pPr>
      <w:r>
        <w:rPr>
          <w:rFonts w:ascii="Times New Roman" w:hAnsi="Times New Roman"/>
        </w:rPr>
        <w:t>Name:</w:t>
      </w:r>
      <w:r>
        <w:rPr>
          <w:rFonts w:ascii="Times New Roman" w:hAnsi="Times New Roman"/>
          <w:u w:val="single"/>
        </w:rPr>
        <w:t xml:space="preserve">                                                                         </w:t>
      </w:r>
      <w:r>
        <w:fldChar w:fldCharType="begin"/>
      </w:r>
      <w:r>
        <w:rPr>
          <w:u w:val="single"/>
          <w:rFonts w:ascii="Times New Roman" w:hAnsi="Times New Roman"/>
        </w:rPr>
        <w:instrText xml:space="preserve">ADVANCE \x468</w:instrText>
      </w:r>
      <w:r>
        <w:rPr>
          <w:rFonts w:ascii="Times New Roman" w:hAnsi="Times New Roman"/>
          <w:u w:val="single"/>
        </w:rPr>
      </w:r>
      <w:r>
        <w:rPr>
          <w:u w:val="single"/>
          <w:rFonts w:ascii="Times New Roman" w:hAnsi="Times New Roman"/>
        </w:rPr>
        <w:fldChar w:fldCharType="separate"/>
      </w:r>
      <w:r>
        <w:rPr>
          <w:rFonts w:ascii="Times New Roman" w:hAnsi="Times New Roman"/>
          <w:u w:val="single"/>
        </w:rPr>
      </w:r>
      <w:r/>
      <w:r>
        <w:rPr>
          <w:u w:val="single"/>
          <w:rFonts w:ascii="Times New Roman" w:hAnsi="Times New Roman"/>
        </w:rPr>
        <w:fldChar w:fldCharType="end"/>
      </w:r>
      <w:r>
        <w:rPr>
          <w:rFonts w:ascii="Times New Roman" w:hAnsi="Times New Roman"/>
          <w:u w:val="sing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ind w:firstLine="4320" w:start="0" w:end="0"/>
        <w:jc w:val="both"/>
        <w:rPr>
          <w:rFonts w:ascii="Times New Roman" w:hAnsi="Times New Roman"/>
        </w:rPr>
      </w:pPr>
      <w:r>
        <w:rPr>
          <w:rFonts w:ascii="Times New Roman" w:hAnsi="Times New Roman"/>
        </w:rPr>
        <w:t>Title:</w:t>
      </w:r>
      <w:r>
        <w:rPr>
          <w:rFonts w:ascii="Times New Roman" w:hAnsi="Times New Roman"/>
          <w:u w:val="single"/>
        </w:rPr>
        <w:t xml:space="preserve">                                                                           </w:t>
      </w:r>
      <w:r>
        <w:fldChar w:fldCharType="begin"/>
      </w:r>
      <w:r>
        <w:rPr>
          <w:u w:val="single"/>
          <w:rFonts w:ascii="Times New Roman" w:hAnsi="Times New Roman"/>
        </w:rPr>
        <w:instrText xml:space="preserve">ADVANCE \x468</w:instrText>
      </w:r>
      <w:r>
        <w:rPr>
          <w:rFonts w:ascii="Times New Roman" w:hAnsi="Times New Roman"/>
          <w:u w:val="single"/>
        </w:rPr>
      </w:r>
      <w:r>
        <w:rPr>
          <w:u w:val="single"/>
          <w:rFonts w:ascii="Times New Roman" w:hAnsi="Times New Roman"/>
        </w:rPr>
        <w:fldChar w:fldCharType="separate"/>
      </w:r>
      <w:r>
        <w:rPr>
          <w:rFonts w:ascii="Times New Roman" w:hAnsi="Times New Roman"/>
          <w:u w:val="single"/>
        </w:rPr>
      </w:r>
      <w:r/>
      <w:r>
        <w:rPr>
          <w:u w:val="single"/>
          <w:rFonts w:ascii="Times New Roman" w:hAnsi="Times New Roman"/>
        </w:rPr>
        <w:fldChar w:fldCharType="end"/>
      </w:r>
      <w:r>
        <w:rPr>
          <w:rFonts w:ascii="Times New Roman" w:hAnsi="Times New Roman"/>
          <w:u w:val="sing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ind w:firstLine="4320" w:start="0" w:end="0"/>
        <w:jc w:val="both"/>
        <w:rPr>
          <w:rFonts w:ascii="Times New Roman" w:hAnsi="Times New Roman"/>
        </w:rPr>
      </w:pPr>
      <w:r>
        <w:rPr>
          <w:rFonts w:ascii="Times New Roman" w:hAnsi="Times New Roman"/>
        </w:rPr>
        <w:t>MAHONIA NATURAL GAS LIMITED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ind w:firstLine="4320" w:start="0" w:end="0"/>
        <w:jc w:val="both"/>
        <w:rPr>
          <w:rFonts w:ascii="Times New Roman" w:hAnsi="Times New Roman"/>
        </w:rPr>
      </w:pPr>
      <w:r>
        <w:rPr>
          <w:rFonts w:ascii="Times New Roman" w:hAnsi="Times New Roman"/>
        </w:rPr>
        <w:t>By:</w:t>
      </w:r>
      <w:r>
        <w:rPr>
          <w:rFonts w:ascii="Times New Roman" w:hAnsi="Times New Roman"/>
          <w:u w:val="single"/>
        </w:rPr>
        <w:t xml:space="preserve">                                                                              </w:t>
      </w:r>
      <w:r>
        <w:fldChar w:fldCharType="begin"/>
      </w:r>
      <w:r>
        <w:rPr>
          <w:u w:val="single"/>
          <w:rFonts w:ascii="Times New Roman" w:hAnsi="Times New Roman"/>
        </w:rPr>
        <w:instrText xml:space="preserve">ADVANCE \x468</w:instrText>
      </w:r>
      <w:r>
        <w:rPr>
          <w:rFonts w:ascii="Times New Roman" w:hAnsi="Times New Roman"/>
          <w:u w:val="single"/>
        </w:rPr>
      </w:r>
      <w:r>
        <w:rPr>
          <w:u w:val="single"/>
          <w:rFonts w:ascii="Times New Roman" w:hAnsi="Times New Roman"/>
        </w:rPr>
        <w:fldChar w:fldCharType="separate"/>
      </w:r>
      <w:r>
        <w:rPr>
          <w:rFonts w:ascii="Times New Roman" w:hAnsi="Times New Roman"/>
          <w:u w:val="single"/>
        </w:rPr>
      </w:r>
      <w:r/>
      <w:r>
        <w:rPr>
          <w:u w:val="single"/>
          <w:rFonts w:ascii="Times New Roman" w:hAnsi="Times New Roman"/>
        </w:rPr>
        <w:fldChar w:fldCharType="end"/>
      </w:r>
      <w:r>
        <w:rPr>
          <w:rFonts w:ascii="Times New Roman" w:hAnsi="Times New Roman"/>
          <w:u w:val="sing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ind w:firstLine="4320" w:start="0" w:end="0"/>
        <w:jc w:val="both"/>
        <w:rPr>
          <w:rFonts w:ascii="Times New Roman" w:hAnsi="Times New Roman"/>
        </w:rPr>
      </w:pPr>
      <w:r>
        <w:rPr>
          <w:rFonts w:ascii="Times New Roman" w:hAnsi="Times New Roman"/>
        </w:rPr>
        <w:t>Name:</w:t>
      </w:r>
      <w:r>
        <w:rPr>
          <w:rFonts w:ascii="Times New Roman" w:hAnsi="Times New Roman"/>
          <w:u w:val="single"/>
        </w:rPr>
        <w:t xml:space="preserve">                                                                         </w:t>
      </w:r>
      <w:r>
        <w:fldChar w:fldCharType="begin"/>
      </w:r>
      <w:r>
        <w:rPr>
          <w:u w:val="single"/>
          <w:rFonts w:ascii="Times New Roman" w:hAnsi="Times New Roman"/>
        </w:rPr>
        <w:instrText xml:space="preserve">ADVANCE \x468</w:instrText>
      </w:r>
      <w:r>
        <w:rPr>
          <w:rFonts w:ascii="Times New Roman" w:hAnsi="Times New Roman"/>
          <w:u w:val="single"/>
        </w:rPr>
      </w:r>
      <w:r>
        <w:rPr>
          <w:u w:val="single"/>
          <w:rFonts w:ascii="Times New Roman" w:hAnsi="Times New Roman"/>
        </w:rPr>
        <w:fldChar w:fldCharType="separate"/>
      </w:r>
      <w:r>
        <w:rPr>
          <w:rFonts w:ascii="Times New Roman" w:hAnsi="Times New Roman"/>
          <w:u w:val="single"/>
        </w:rPr>
      </w:r>
      <w:r/>
      <w:r>
        <w:rPr>
          <w:u w:val="single"/>
          <w:rFonts w:ascii="Times New Roman" w:hAnsi="Times New Roman"/>
        </w:rPr>
        <w:fldChar w:fldCharType="end"/>
      </w:r>
      <w:r>
        <w:rPr>
          <w:rFonts w:ascii="Times New Roman" w:hAnsi="Times New Roman"/>
          <w:u w:val="sing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ind w:firstLine="4320" w:start="0" w:end="0"/>
        <w:jc w:val="both"/>
        <w:rPr>
          <w:rFonts w:ascii="Times New Roman" w:hAnsi="Times New Roman"/>
          <w:u w:val="single"/>
        </w:rPr>
      </w:pPr>
      <w:r>
        <w:rPr>
          <w:rFonts w:ascii="Times New Roman" w:hAnsi="Times New Roman"/>
        </w:rPr>
        <w:t>Title:</w:t>
      </w:r>
      <w:r>
        <w:rPr>
          <w:rFonts w:ascii="Times New Roman" w:hAnsi="Times New Roman"/>
          <w:u w:val="single"/>
        </w:rPr>
        <w:t xml:space="preserve">                                                                           </w:t>
      </w:r>
      <w:r>
        <w:fldChar w:fldCharType="begin"/>
      </w:r>
      <w:r>
        <w:rPr>
          <w:u w:val="single"/>
          <w:rFonts w:ascii="Times New Roman" w:hAnsi="Times New Roman"/>
        </w:rPr>
        <w:instrText xml:space="preserve">ADVANCE \x468</w:instrText>
      </w:r>
      <w:r>
        <w:rPr>
          <w:rFonts w:ascii="Times New Roman" w:hAnsi="Times New Roman"/>
          <w:u w:val="single"/>
        </w:rPr>
      </w:r>
      <w:r>
        <w:rPr>
          <w:u w:val="single"/>
          <w:rFonts w:ascii="Times New Roman" w:hAnsi="Times New Roman"/>
        </w:rPr>
        <w:fldChar w:fldCharType="separate"/>
      </w:r>
      <w:r>
        <w:rPr>
          <w:rFonts w:ascii="Times New Roman" w:hAnsi="Times New Roman"/>
          <w:u w:val="single"/>
        </w:rPr>
      </w:r>
      <w:r/>
      <w:r>
        <w:rPr>
          <w:u w:val="single"/>
          <w:rFonts w:ascii="Times New Roman" w:hAnsi="Times New Roman"/>
        </w:rPr>
        <w:fldChar w:fldCharType="end"/>
      </w:r>
      <w:r>
        <w:rPr>
          <w:rFonts w:ascii="Times New Roman" w:hAnsi="Times New Roman"/>
          <w:u w:val="sing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ind w:firstLine="4320" w:start="0" w:end="0"/>
        <w:jc w:val="both"/>
        <w:rPr>
          <w:rFonts w:ascii="Times New Roman" w:hAnsi="Times New Roman"/>
          <w:u w:val="single"/>
        </w:rPr>
      </w:pPr>
      <w:r>
        <w:rPr>
          <w:rFonts w:ascii="Times New Roman" w:hAnsi="Times New Roman"/>
          <w:u w:val="single"/>
        </w:rPr>
      </w:r>
    </w:p>
    <w:p>
      <w:pPr>
        <w:sectPr>
          <w:headerReference w:type="even" r:id="rId8"/>
          <w:headerReference w:type="default" r:id="rId9"/>
          <w:headerReference w:type="first" r:id="rId10"/>
          <w:footerReference w:type="even" r:id="rId11"/>
          <w:footerReference w:type="default" r:id="rId12"/>
          <w:footerReference w:type="first" r:id="rId13"/>
          <w:type w:val="nextPage"/>
          <w:pgSz w:w="12240" w:h="15840"/>
          <w:pgMar w:left="1440" w:right="1440" w:gutter="0" w:header="1440" w:top="1497" w:footer="720" w:bottom="777"/>
          <w:pgNumType w:fmt="decimal"/>
          <w:formProt w:val="false"/>
          <w:textDirection w:val="lrTb"/>
          <w:docGrid w:type="default" w:linePitch="100" w:charSpace="0"/>
        </w:sect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ind w:firstLine="4320" w:start="0" w:end="0"/>
        <w:jc w:val="both"/>
        <w:rPr>
          <w:rFonts w:ascii="Times New Roman" w:hAnsi="Times New Roman"/>
          <w:u w:val="single"/>
        </w:rPr>
      </w:pPr>
      <w:r>
        <w:rPr>
          <w:rFonts w:ascii="Times New Roman" w:hAnsi="Times New Roman"/>
          <w:u w:val="single"/>
        </w:rPr>
      </w:r>
    </w:p>
    <w:p>
      <w:pPr>
        <w:pStyle w:val="Normal"/>
        <w:widowControl/>
        <w:tabs>
          <w:tab w:val="clear" w:pos="720"/>
          <w:tab w:val="center" w:pos="4680" w:leader="none"/>
          <w:tab w:val="left" w:pos="5198"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tab/>
      </w:r>
      <w:r>
        <w:rPr>
          <w:rFonts w:ascii="Times New Roman" w:hAnsi="Times New Roman"/>
          <w:u w:val="single"/>
        </w:rPr>
        <w:t>Exhibit A</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tbl>
      <w:tblPr>
        <w:tblW w:w="5653" w:type="dxa"/>
        <w:jc w:val="center"/>
        <w:tblInd w:w="0" w:type="dxa"/>
        <w:tblLayout w:type="fixed"/>
        <w:tblCellMar>
          <w:top w:w="0" w:type="dxa"/>
          <w:start w:w="120" w:type="dxa"/>
          <w:bottom w:w="0" w:type="dxa"/>
          <w:end w:w="120" w:type="dxa"/>
        </w:tblCellMar>
      </w:tblPr>
      <w:tblGrid>
        <w:gridCol w:w="2586"/>
        <w:gridCol w:w="1479"/>
        <w:gridCol w:w="1588"/>
      </w:tblGrid>
      <w:tr>
        <w:trPr/>
        <w:tc>
          <w:tcPr>
            <w:tcW w:w="2586" w:type="dxa"/>
            <w:tcBorders>
              <w:top w:val="single" w:sz="6" w:space="0" w:color="000000"/>
              <w:start w:val="single" w:sz="6" w:space="0" w:color="000000"/>
              <w:bottom w:val="single" w:sz="6" w:space="0" w:color="000000"/>
              <w:end w:val="single" w:sz="6" w:space="0" w:color="000000"/>
            </w:tcBorders>
            <w:shd w:color="auto" w:fill="FFFFFF" w:val="pct5"/>
          </w:tcPr>
          <w:p>
            <w:pPr>
              <w:pStyle w:val="Normal"/>
              <w:tabs>
                <w:tab w:val="clear" w:pos="720"/>
              </w:tabs>
              <w:bidi w:val="0"/>
              <w:spacing w:lineRule="exact" w:line="120"/>
              <w:ind w:hanging="0" w:start="0" w:end="0"/>
              <w:jc w:val="start"/>
              <w:rPr>
                <w:rFonts w:ascii="Times New Roman" w:hAnsi="Times New Roman"/>
              </w:rPr>
            </w:pPr>
            <w:r>
              <w:rPr>
                <w:rFonts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ind w:hanging="0" w:start="0" w:end="0"/>
              <w:jc w:val="center"/>
              <w:rPr>
                <w:rFonts w:ascii="Times New Roman" w:hAnsi="Times New Roman"/>
                <w:b/>
              </w:rPr>
            </w:pPr>
            <w:r>
              <w:rPr>
                <w:rFonts w:ascii="Times New Roman" w:hAnsi="Times New Roman"/>
                <w:b/>
              </w:rPr>
              <w:t>Enron Corp.</w:t>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ind w:hanging="0" w:start="0" w:end="0"/>
              <w:jc w:val="center"/>
              <w:rPr>
                <w:rFonts w:ascii="Times New Roman" w:hAnsi="Times New Roman"/>
                <w:b/>
              </w:rPr>
            </w:pPr>
            <w:r>
              <w:rPr>
                <w:rFonts w:ascii="Times New Roman" w:hAnsi="Times New Roman"/>
                <w:b/>
              </w:rPr>
              <w:t>Credit Rating</w:t>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spacing w:before="0" w:after="58"/>
              <w:ind w:hanging="0" w:start="0" w:end="0"/>
              <w:jc w:val="center"/>
              <w:rPr/>
            </w:pPr>
            <w:r>
              <w:rPr>
                <w:rFonts w:ascii="Times New Roman" w:hAnsi="Times New Roman"/>
                <w:b/>
              </w:rPr>
              <w:t xml:space="preserve">By Standard &amp; Poors   </w:t>
            </w:r>
          </w:p>
        </w:tc>
        <w:tc>
          <w:tcPr>
            <w:tcW w:w="1479" w:type="dxa"/>
            <w:tcBorders>
              <w:top w:val="single" w:sz="6" w:space="0" w:color="000000"/>
              <w:start w:val="single" w:sz="6" w:space="0" w:color="000000"/>
              <w:bottom w:val="single" w:sz="6" w:space="0" w:color="000000"/>
              <w:end w:val="single" w:sz="6" w:space="0" w:color="000000"/>
            </w:tcBorders>
            <w:shd w:color="auto" w:fill="FFFFFF" w:val="pct5"/>
          </w:tcPr>
          <w:p>
            <w:pPr>
              <w:pStyle w:val="Normal"/>
              <w:tabs>
                <w:tab w:val="clear" w:pos="720"/>
              </w:tabs>
              <w:bidi w:val="0"/>
              <w:spacing w:lineRule="exact" w:line="120"/>
              <w:ind w:hanging="0" w:start="0" w:end="0"/>
              <w:jc w:val="start"/>
              <w:rPr>
                <w:rFonts w:ascii="Times New Roman" w:hAnsi="Times New Roman"/>
                <w:b/>
              </w:rPr>
            </w:pPr>
            <w:r>
              <w:rPr>
                <w:rFonts w:ascii="Times New Roman" w:hAnsi="Times New Roman"/>
                <w:b/>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ind w:hanging="0" w:start="0" w:end="0"/>
              <w:jc w:val="center"/>
              <w:rPr>
                <w:rFonts w:ascii="Times New Roman" w:hAnsi="Times New Roman"/>
                <w:b/>
              </w:rPr>
            </w:pPr>
            <w:r>
              <w:rPr>
                <w:rFonts w:ascii="Times New Roman" w:hAnsi="Times New Roman"/>
                <w:b/>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ind w:hanging="0" w:start="0" w:end="0"/>
              <w:jc w:val="center"/>
              <w:rPr>
                <w:rFonts w:ascii="Times New Roman" w:hAnsi="Times New Roman"/>
                <w:b/>
              </w:rPr>
            </w:pPr>
            <w:r>
              <w:rPr>
                <w:rFonts w:ascii="Times New Roman" w:hAnsi="Times New Roman"/>
                <w:b/>
              </w:rPr>
              <w:t xml:space="preserve">Threshold </w:t>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spacing w:before="0" w:after="58"/>
              <w:ind w:hanging="0" w:start="0" w:end="0"/>
              <w:jc w:val="center"/>
              <w:rPr/>
            </w:pPr>
            <w:r>
              <w:rPr>
                <w:rFonts w:ascii="Times New Roman" w:hAnsi="Times New Roman"/>
                <w:b/>
              </w:rPr>
              <w:t>Amount</w:t>
            </w:r>
          </w:p>
        </w:tc>
        <w:tc>
          <w:tcPr>
            <w:tcW w:w="1588" w:type="dxa"/>
            <w:tcBorders>
              <w:top w:val="single" w:sz="6" w:space="0" w:color="000000"/>
              <w:start w:val="single" w:sz="6" w:space="0" w:color="000000"/>
              <w:bottom w:val="single" w:sz="6" w:space="0" w:color="000000"/>
              <w:end w:val="single" w:sz="6" w:space="0" w:color="000000"/>
            </w:tcBorders>
            <w:shd w:color="auto" w:fill="FFFFFF" w:val="pct5"/>
          </w:tcPr>
          <w:p>
            <w:pPr>
              <w:pStyle w:val="Normal"/>
              <w:tabs>
                <w:tab w:val="clear" w:pos="720"/>
              </w:tabs>
              <w:bidi w:val="0"/>
              <w:spacing w:lineRule="exact" w:line="120"/>
              <w:ind w:hanging="0" w:start="0" w:end="0"/>
              <w:jc w:val="start"/>
              <w:rPr>
                <w:rFonts w:ascii="Times New Roman" w:hAnsi="Times New Roman"/>
                <w:b/>
              </w:rPr>
            </w:pPr>
            <w:r>
              <w:rPr>
                <w:rFonts w:ascii="Times New Roman" w:hAnsi="Times New Roman"/>
                <w:b/>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ind w:hanging="0" w:start="0" w:end="0"/>
              <w:jc w:val="center"/>
              <w:rPr>
                <w:rFonts w:ascii="Times New Roman" w:hAnsi="Times New Roman"/>
                <w:b/>
              </w:rPr>
            </w:pPr>
            <w:r>
              <w:rPr>
                <w:rFonts w:ascii="Times New Roman" w:hAnsi="Times New Roman"/>
                <w:b/>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ind w:hanging="0" w:start="0" w:end="0"/>
              <w:jc w:val="center"/>
              <w:rPr>
                <w:rFonts w:ascii="Times New Roman" w:hAnsi="Times New Roman"/>
                <w:b/>
              </w:rPr>
            </w:pPr>
            <w:r>
              <w:rPr>
                <w:rFonts w:ascii="Times New Roman" w:hAnsi="Times New Roman"/>
                <w:b/>
              </w:rPr>
              <w:t xml:space="preserve">Minimum </w:t>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spacing w:before="0" w:after="58"/>
              <w:ind w:hanging="0" w:start="0" w:end="0"/>
              <w:jc w:val="center"/>
              <w:rPr/>
            </w:pPr>
            <w:r>
              <w:rPr>
                <w:rFonts w:ascii="Times New Roman" w:hAnsi="Times New Roman"/>
                <w:b/>
              </w:rPr>
              <w:t>Call Amount</w:t>
            </w:r>
          </w:p>
        </w:tc>
      </w:tr>
      <w:tr>
        <w:trPr/>
        <w:tc>
          <w:tcPr>
            <w:tcW w:w="2586"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spacing w:lineRule="exact" w:line="120"/>
              <w:ind w:hanging="0" w:start="0" w:end="0"/>
              <w:jc w:val="start"/>
              <w:rPr>
                <w:rFonts w:ascii="Times New Roman" w:hAnsi="Times New Roman"/>
                <w:b/>
              </w:rPr>
            </w:pPr>
            <w:r>
              <w:rPr>
                <w:rFonts w:ascii="Times New Roman" w:hAnsi="Times New Roman"/>
                <w:b/>
              </w:rPr>
            </w:r>
          </w:p>
          <w:p>
            <w:pPr>
              <w:pStyle w:val="Normal"/>
              <w:widowControl/>
              <w:tabs>
                <w:tab w:val="left" w:pos="-1080" w:leader="none"/>
                <w:tab w:val="left" w:pos="-720" w:leader="none"/>
                <w:tab w:val="left" w:pos="0" w:leader="none"/>
                <w:tab w:val="left" w:pos="720" w:leader="none"/>
                <w:tab w:val="left" w:pos="1440" w:leader="none"/>
                <w:tab w:val="left" w:pos="258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spacing w:before="0" w:after="58"/>
              <w:ind w:hanging="0" w:start="0" w:end="0"/>
              <w:jc w:val="start"/>
              <w:rPr/>
            </w:pPr>
            <w:r>
              <w:rPr>
                <w:rFonts w:ascii="Times New Roman" w:hAnsi="Times New Roman"/>
              </w:rPr>
              <w:tab/>
              <w:t>AAA</w:t>
            </w:r>
          </w:p>
        </w:tc>
        <w:tc>
          <w:tcPr>
            <w:tcW w:w="1479"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spacing w:lineRule="exact" w:line="120"/>
              <w:ind w:hanging="0" w:start="0" w:end="0"/>
              <w:jc w:val="start"/>
              <w:rPr>
                <w:rFonts w:ascii="Times New Roman" w:hAnsi="Times New Roman"/>
              </w:rPr>
            </w:pPr>
            <w:r>
              <w:rPr>
                <w:rFonts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spacing w:before="0" w:after="58"/>
              <w:ind w:hanging="0" w:start="0" w:end="0"/>
              <w:jc w:val="end"/>
              <w:rPr/>
            </w:pPr>
            <w:r>
              <w:rPr>
                <w:rFonts w:ascii="Times New Roman" w:hAnsi="Times New Roman"/>
              </w:rPr>
              <w:t>$50,000,000</w:t>
            </w:r>
          </w:p>
        </w:tc>
        <w:tc>
          <w:tcPr>
            <w:tcW w:w="1588"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spacing w:lineRule="exact" w:line="120"/>
              <w:ind w:hanging="0" w:start="0" w:end="0"/>
              <w:jc w:val="start"/>
              <w:rPr>
                <w:rFonts w:ascii="Times New Roman" w:hAnsi="Times New Roman"/>
              </w:rPr>
            </w:pPr>
            <w:r>
              <w:rPr>
                <w:rFonts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spacing w:before="0" w:after="58"/>
              <w:ind w:hanging="0" w:start="0" w:end="0"/>
              <w:jc w:val="end"/>
              <w:rPr/>
            </w:pPr>
            <w:r>
              <w:rPr>
                <w:rFonts w:ascii="Times New Roman" w:hAnsi="Times New Roman"/>
              </w:rPr>
              <w:t>$500,000</w:t>
            </w:r>
          </w:p>
        </w:tc>
      </w:tr>
      <w:tr>
        <w:trPr/>
        <w:tc>
          <w:tcPr>
            <w:tcW w:w="2586" w:type="dxa"/>
            <w:tcBorders>
              <w:top w:val="single" w:sz="6" w:space="0" w:color="000000"/>
              <w:start w:val="single" w:sz="6" w:space="0" w:color="000000"/>
              <w:bottom w:val="single" w:sz="6" w:space="0" w:color="000000"/>
              <w:end w:val="single" w:sz="6" w:space="0" w:color="000000"/>
            </w:tcBorders>
          </w:tcPr>
          <w:p>
            <w:pPr>
              <w:pStyle w:val="Normal"/>
              <w:bidi w:val="0"/>
              <w:spacing w:lineRule="exact" w:line="120"/>
              <w:ind w:hanging="0" w:start="0" w:end="0"/>
              <w:jc w:val="start"/>
              <w:rPr>
                <w:rFonts w:ascii="Times New Roman" w:hAnsi="Times New Roman"/>
              </w:rPr>
            </w:pPr>
            <w:r>
              <w:rPr>
                <w:rFonts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58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spacing w:before="0" w:after="58"/>
              <w:ind w:hanging="0" w:start="0" w:end="0"/>
              <w:jc w:val="start"/>
              <w:rPr/>
            </w:pPr>
            <w:r>
              <w:rPr>
                <w:rFonts w:ascii="Times New Roman" w:hAnsi="Times New Roman"/>
              </w:rPr>
              <w:tab/>
              <w:t>AA+</w:t>
            </w:r>
          </w:p>
        </w:tc>
        <w:tc>
          <w:tcPr>
            <w:tcW w:w="1479" w:type="dxa"/>
            <w:tcBorders>
              <w:top w:val="single" w:sz="6" w:space="0" w:color="000000"/>
              <w:start w:val="single" w:sz="6" w:space="0" w:color="000000"/>
              <w:bottom w:val="single" w:sz="6" w:space="0" w:color="000000"/>
              <w:end w:val="single" w:sz="6" w:space="0" w:color="000000"/>
            </w:tcBorders>
          </w:tcPr>
          <w:p>
            <w:pPr>
              <w:pStyle w:val="Normal"/>
              <w:bidi w:val="0"/>
              <w:spacing w:lineRule="exact" w:line="120"/>
              <w:ind w:hanging="0" w:start="0" w:end="0"/>
              <w:jc w:val="start"/>
              <w:rPr>
                <w:rFonts w:ascii="Times New Roman" w:hAnsi="Times New Roman"/>
              </w:rPr>
            </w:pPr>
            <w:r>
              <w:rPr>
                <w:rFonts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spacing w:before="0" w:after="58"/>
              <w:ind w:hanging="0" w:start="0" w:end="0"/>
              <w:jc w:val="end"/>
              <w:rPr/>
            </w:pPr>
            <w:r>
              <w:rPr>
                <w:rFonts w:ascii="Times New Roman" w:hAnsi="Times New Roman"/>
              </w:rPr>
              <w:t xml:space="preserve"> </w:t>
            </w:r>
            <w:r>
              <w:rPr>
                <w:rFonts w:ascii="Times New Roman" w:hAnsi="Times New Roman"/>
              </w:rPr>
              <w:t>50,000,000</w:t>
            </w:r>
          </w:p>
        </w:tc>
        <w:tc>
          <w:tcPr>
            <w:tcW w:w="1588" w:type="dxa"/>
            <w:tcBorders>
              <w:top w:val="single" w:sz="6" w:space="0" w:color="000000"/>
              <w:start w:val="single" w:sz="6" w:space="0" w:color="000000"/>
              <w:bottom w:val="single" w:sz="6" w:space="0" w:color="000000"/>
              <w:end w:val="single" w:sz="6" w:space="0" w:color="000000"/>
            </w:tcBorders>
          </w:tcPr>
          <w:p>
            <w:pPr>
              <w:pStyle w:val="Normal"/>
              <w:bidi w:val="0"/>
              <w:spacing w:lineRule="exact" w:line="120"/>
              <w:ind w:hanging="0" w:start="0" w:end="0"/>
              <w:jc w:val="start"/>
              <w:rPr>
                <w:rFonts w:ascii="Times New Roman" w:hAnsi="Times New Roman"/>
              </w:rPr>
            </w:pPr>
            <w:r>
              <w:rPr>
                <w:rFonts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spacing w:before="0" w:after="58"/>
              <w:ind w:hanging="0" w:start="0" w:end="0"/>
              <w:jc w:val="end"/>
              <w:rPr/>
            </w:pPr>
            <w:r>
              <w:rPr>
                <w:rFonts w:ascii="Times New Roman" w:hAnsi="Times New Roman"/>
              </w:rPr>
              <w:t xml:space="preserve"> </w:t>
            </w:r>
            <w:r>
              <w:rPr>
                <w:rFonts w:ascii="Times New Roman" w:hAnsi="Times New Roman"/>
              </w:rPr>
              <w:t>500,000</w:t>
            </w:r>
          </w:p>
        </w:tc>
      </w:tr>
      <w:tr>
        <w:trPr/>
        <w:tc>
          <w:tcPr>
            <w:tcW w:w="2586" w:type="dxa"/>
            <w:tcBorders>
              <w:top w:val="single" w:sz="6" w:space="0" w:color="000000"/>
              <w:start w:val="single" w:sz="6" w:space="0" w:color="000000"/>
              <w:bottom w:val="single" w:sz="6" w:space="0" w:color="000000"/>
              <w:end w:val="single" w:sz="6" w:space="0" w:color="000000"/>
            </w:tcBorders>
          </w:tcPr>
          <w:p>
            <w:pPr>
              <w:pStyle w:val="Normal"/>
              <w:bidi w:val="0"/>
              <w:spacing w:lineRule="exact" w:line="120"/>
              <w:ind w:hanging="0" w:start="0" w:end="0"/>
              <w:jc w:val="start"/>
              <w:rPr>
                <w:rFonts w:ascii="Times New Roman" w:hAnsi="Times New Roman"/>
              </w:rPr>
            </w:pPr>
            <w:r>
              <w:rPr>
                <w:rFonts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58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spacing w:before="0" w:after="58"/>
              <w:ind w:hanging="0" w:start="0" w:end="0"/>
              <w:jc w:val="start"/>
              <w:rPr/>
            </w:pPr>
            <w:r>
              <w:rPr>
                <w:rFonts w:ascii="Times New Roman" w:hAnsi="Times New Roman"/>
              </w:rPr>
              <w:tab/>
              <w:t xml:space="preserve">AA </w:t>
            </w:r>
          </w:p>
        </w:tc>
        <w:tc>
          <w:tcPr>
            <w:tcW w:w="1479" w:type="dxa"/>
            <w:tcBorders>
              <w:top w:val="single" w:sz="6" w:space="0" w:color="000000"/>
              <w:start w:val="single" w:sz="6" w:space="0" w:color="000000"/>
              <w:bottom w:val="single" w:sz="6" w:space="0" w:color="000000"/>
              <w:end w:val="single" w:sz="6" w:space="0" w:color="000000"/>
            </w:tcBorders>
          </w:tcPr>
          <w:p>
            <w:pPr>
              <w:pStyle w:val="Normal"/>
              <w:bidi w:val="0"/>
              <w:spacing w:lineRule="exact" w:line="120"/>
              <w:ind w:hanging="0" w:start="0" w:end="0"/>
              <w:jc w:val="start"/>
              <w:rPr>
                <w:rFonts w:ascii="Times New Roman" w:hAnsi="Times New Roman"/>
              </w:rPr>
            </w:pPr>
            <w:r>
              <w:rPr>
                <w:rFonts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spacing w:before="0" w:after="58"/>
              <w:ind w:hanging="0" w:start="0" w:end="0"/>
              <w:jc w:val="end"/>
              <w:rPr/>
            </w:pPr>
            <w:r>
              <w:rPr>
                <w:rFonts w:ascii="Times New Roman" w:hAnsi="Times New Roman"/>
              </w:rPr>
              <w:t xml:space="preserve"> </w:t>
            </w:r>
            <w:r>
              <w:rPr>
                <w:rFonts w:ascii="Times New Roman" w:hAnsi="Times New Roman"/>
              </w:rPr>
              <w:t>50,000,000</w:t>
            </w:r>
          </w:p>
        </w:tc>
        <w:tc>
          <w:tcPr>
            <w:tcW w:w="1588" w:type="dxa"/>
            <w:tcBorders>
              <w:top w:val="single" w:sz="6" w:space="0" w:color="000000"/>
              <w:start w:val="single" w:sz="6" w:space="0" w:color="000000"/>
              <w:bottom w:val="single" w:sz="6" w:space="0" w:color="000000"/>
              <w:end w:val="single" w:sz="6" w:space="0" w:color="000000"/>
            </w:tcBorders>
          </w:tcPr>
          <w:p>
            <w:pPr>
              <w:pStyle w:val="Normal"/>
              <w:bidi w:val="0"/>
              <w:spacing w:lineRule="exact" w:line="120"/>
              <w:ind w:hanging="0" w:start="0" w:end="0"/>
              <w:jc w:val="start"/>
              <w:rPr>
                <w:rFonts w:ascii="Times New Roman" w:hAnsi="Times New Roman"/>
              </w:rPr>
            </w:pPr>
            <w:r>
              <w:rPr>
                <w:rFonts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spacing w:before="0" w:after="58"/>
              <w:ind w:hanging="0" w:start="0" w:end="0"/>
              <w:jc w:val="end"/>
              <w:rPr/>
            </w:pPr>
            <w:r>
              <w:rPr>
                <w:rFonts w:ascii="Times New Roman" w:hAnsi="Times New Roman"/>
              </w:rPr>
              <w:t xml:space="preserve"> </w:t>
            </w:r>
            <w:r>
              <w:rPr>
                <w:rFonts w:ascii="Times New Roman" w:hAnsi="Times New Roman"/>
              </w:rPr>
              <w:t>500,000</w:t>
            </w:r>
          </w:p>
        </w:tc>
      </w:tr>
      <w:tr>
        <w:trPr/>
        <w:tc>
          <w:tcPr>
            <w:tcW w:w="2586" w:type="dxa"/>
            <w:tcBorders>
              <w:top w:val="single" w:sz="6" w:space="0" w:color="000000"/>
              <w:start w:val="single" w:sz="6" w:space="0" w:color="000000"/>
              <w:bottom w:val="single" w:sz="6" w:space="0" w:color="000000"/>
              <w:end w:val="single" w:sz="6" w:space="0" w:color="000000"/>
            </w:tcBorders>
          </w:tcPr>
          <w:p>
            <w:pPr>
              <w:pStyle w:val="Normal"/>
              <w:bidi w:val="0"/>
              <w:spacing w:lineRule="exact" w:line="120"/>
              <w:ind w:hanging="0" w:start="0" w:end="0"/>
              <w:jc w:val="start"/>
              <w:rPr>
                <w:rFonts w:ascii="Times New Roman" w:hAnsi="Times New Roman"/>
              </w:rPr>
            </w:pPr>
            <w:r>
              <w:rPr>
                <w:rFonts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58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spacing w:before="0" w:after="58"/>
              <w:ind w:hanging="0" w:start="0" w:end="0"/>
              <w:jc w:val="start"/>
              <w:rPr/>
            </w:pPr>
            <w:r>
              <w:rPr>
                <w:rFonts w:ascii="Times New Roman" w:hAnsi="Times New Roman"/>
              </w:rPr>
              <w:tab/>
              <w:t>AA-</w:t>
            </w:r>
          </w:p>
        </w:tc>
        <w:tc>
          <w:tcPr>
            <w:tcW w:w="1479" w:type="dxa"/>
            <w:tcBorders>
              <w:top w:val="single" w:sz="6" w:space="0" w:color="000000"/>
              <w:start w:val="single" w:sz="6" w:space="0" w:color="000000"/>
              <w:bottom w:val="single" w:sz="6" w:space="0" w:color="000000"/>
              <w:end w:val="single" w:sz="6" w:space="0" w:color="000000"/>
            </w:tcBorders>
          </w:tcPr>
          <w:p>
            <w:pPr>
              <w:pStyle w:val="Normal"/>
              <w:bidi w:val="0"/>
              <w:spacing w:lineRule="exact" w:line="120"/>
              <w:ind w:hanging="0" w:start="0" w:end="0"/>
              <w:jc w:val="start"/>
              <w:rPr>
                <w:rFonts w:ascii="Times New Roman" w:hAnsi="Times New Roman"/>
              </w:rPr>
            </w:pPr>
            <w:r>
              <w:rPr>
                <w:rFonts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spacing w:before="0" w:after="58"/>
              <w:ind w:hanging="0" w:start="0" w:end="0"/>
              <w:jc w:val="end"/>
              <w:rPr/>
            </w:pPr>
            <w:r>
              <w:rPr>
                <w:rFonts w:ascii="Times New Roman" w:hAnsi="Times New Roman"/>
              </w:rPr>
              <w:t xml:space="preserve"> </w:t>
            </w:r>
            <w:r>
              <w:rPr>
                <w:rFonts w:ascii="Times New Roman" w:hAnsi="Times New Roman"/>
              </w:rPr>
              <w:t>50,000,000</w:t>
            </w:r>
          </w:p>
        </w:tc>
        <w:tc>
          <w:tcPr>
            <w:tcW w:w="1588" w:type="dxa"/>
            <w:tcBorders>
              <w:top w:val="single" w:sz="6" w:space="0" w:color="000000"/>
              <w:start w:val="single" w:sz="6" w:space="0" w:color="000000"/>
              <w:bottom w:val="single" w:sz="6" w:space="0" w:color="000000"/>
              <w:end w:val="single" w:sz="6" w:space="0" w:color="000000"/>
            </w:tcBorders>
          </w:tcPr>
          <w:p>
            <w:pPr>
              <w:pStyle w:val="Normal"/>
              <w:bidi w:val="0"/>
              <w:spacing w:lineRule="exact" w:line="120"/>
              <w:ind w:hanging="0" w:start="0" w:end="0"/>
              <w:jc w:val="start"/>
              <w:rPr>
                <w:rFonts w:ascii="Times New Roman" w:hAnsi="Times New Roman"/>
              </w:rPr>
            </w:pPr>
            <w:r>
              <w:rPr>
                <w:rFonts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spacing w:before="0" w:after="58"/>
              <w:ind w:hanging="0" w:start="0" w:end="0"/>
              <w:jc w:val="end"/>
              <w:rPr/>
            </w:pPr>
            <w:r>
              <w:rPr>
                <w:rFonts w:ascii="Times New Roman" w:hAnsi="Times New Roman"/>
              </w:rPr>
              <w:t xml:space="preserve"> </w:t>
            </w:r>
            <w:r>
              <w:rPr>
                <w:rFonts w:ascii="Times New Roman" w:hAnsi="Times New Roman"/>
              </w:rPr>
              <w:t>500,000</w:t>
            </w:r>
          </w:p>
        </w:tc>
      </w:tr>
      <w:tr>
        <w:trPr/>
        <w:tc>
          <w:tcPr>
            <w:tcW w:w="2586" w:type="dxa"/>
            <w:tcBorders>
              <w:top w:val="single" w:sz="6" w:space="0" w:color="000000"/>
              <w:start w:val="single" w:sz="6" w:space="0" w:color="000000"/>
              <w:bottom w:val="single" w:sz="6" w:space="0" w:color="000000"/>
              <w:end w:val="single" w:sz="6" w:space="0" w:color="000000"/>
            </w:tcBorders>
          </w:tcPr>
          <w:p>
            <w:pPr>
              <w:pStyle w:val="Normal"/>
              <w:bidi w:val="0"/>
              <w:spacing w:lineRule="exact" w:line="120"/>
              <w:ind w:hanging="0" w:start="0" w:end="0"/>
              <w:jc w:val="start"/>
              <w:rPr>
                <w:rFonts w:ascii="Times New Roman" w:hAnsi="Times New Roman"/>
              </w:rPr>
            </w:pPr>
            <w:r>
              <w:rPr>
                <w:rFonts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58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spacing w:before="0" w:after="58"/>
              <w:ind w:hanging="0" w:start="0" w:end="0"/>
              <w:jc w:val="start"/>
              <w:rPr/>
            </w:pPr>
            <w:r>
              <w:rPr>
                <w:rFonts w:ascii="Times New Roman" w:hAnsi="Times New Roman"/>
              </w:rPr>
              <w:tab/>
              <w:t>A+</w:t>
            </w:r>
          </w:p>
        </w:tc>
        <w:tc>
          <w:tcPr>
            <w:tcW w:w="1479" w:type="dxa"/>
            <w:tcBorders>
              <w:top w:val="single" w:sz="6" w:space="0" w:color="000000"/>
              <w:start w:val="single" w:sz="6" w:space="0" w:color="000000"/>
              <w:bottom w:val="single" w:sz="6" w:space="0" w:color="000000"/>
              <w:end w:val="single" w:sz="6" w:space="0" w:color="000000"/>
            </w:tcBorders>
          </w:tcPr>
          <w:p>
            <w:pPr>
              <w:pStyle w:val="Normal"/>
              <w:bidi w:val="0"/>
              <w:spacing w:lineRule="exact" w:line="120"/>
              <w:ind w:hanging="0" w:start="0" w:end="0"/>
              <w:jc w:val="start"/>
              <w:rPr>
                <w:rFonts w:ascii="Times New Roman" w:hAnsi="Times New Roman"/>
              </w:rPr>
            </w:pPr>
            <w:r>
              <w:rPr>
                <w:rFonts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spacing w:before="0" w:after="58"/>
              <w:ind w:hanging="0" w:start="0" w:end="0"/>
              <w:jc w:val="end"/>
              <w:rPr/>
            </w:pPr>
            <w:r>
              <w:rPr>
                <w:rFonts w:ascii="Times New Roman" w:hAnsi="Times New Roman"/>
              </w:rPr>
              <w:t xml:space="preserve"> </w:t>
            </w:r>
            <w:r>
              <w:rPr>
                <w:rFonts w:ascii="Times New Roman" w:hAnsi="Times New Roman"/>
              </w:rPr>
              <w:t>15,000,000</w:t>
            </w:r>
          </w:p>
        </w:tc>
        <w:tc>
          <w:tcPr>
            <w:tcW w:w="1588" w:type="dxa"/>
            <w:tcBorders>
              <w:top w:val="single" w:sz="6" w:space="0" w:color="000000"/>
              <w:start w:val="single" w:sz="6" w:space="0" w:color="000000"/>
              <w:bottom w:val="single" w:sz="6" w:space="0" w:color="000000"/>
              <w:end w:val="single" w:sz="6" w:space="0" w:color="000000"/>
            </w:tcBorders>
          </w:tcPr>
          <w:p>
            <w:pPr>
              <w:pStyle w:val="Normal"/>
              <w:bidi w:val="0"/>
              <w:spacing w:lineRule="exact" w:line="120"/>
              <w:ind w:hanging="0" w:start="0" w:end="0"/>
              <w:jc w:val="start"/>
              <w:rPr>
                <w:rFonts w:ascii="Times New Roman" w:hAnsi="Times New Roman"/>
              </w:rPr>
            </w:pPr>
            <w:r>
              <w:rPr>
                <w:rFonts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spacing w:before="0" w:after="58"/>
              <w:ind w:hanging="0" w:start="0" w:end="0"/>
              <w:jc w:val="end"/>
              <w:rPr/>
            </w:pPr>
            <w:r>
              <w:rPr>
                <w:rFonts w:ascii="Times New Roman" w:hAnsi="Times New Roman"/>
              </w:rPr>
              <w:t xml:space="preserve"> </w:t>
            </w:r>
            <w:r>
              <w:rPr>
                <w:rFonts w:ascii="Times New Roman" w:hAnsi="Times New Roman"/>
              </w:rPr>
              <w:t>500,000</w:t>
            </w:r>
          </w:p>
        </w:tc>
      </w:tr>
      <w:tr>
        <w:trPr/>
        <w:tc>
          <w:tcPr>
            <w:tcW w:w="2586" w:type="dxa"/>
            <w:tcBorders>
              <w:top w:val="single" w:sz="6" w:space="0" w:color="000000"/>
              <w:start w:val="single" w:sz="6" w:space="0" w:color="000000"/>
              <w:bottom w:val="single" w:sz="6" w:space="0" w:color="000000"/>
              <w:end w:val="single" w:sz="6" w:space="0" w:color="000000"/>
            </w:tcBorders>
          </w:tcPr>
          <w:p>
            <w:pPr>
              <w:pStyle w:val="Normal"/>
              <w:bidi w:val="0"/>
              <w:spacing w:lineRule="exact" w:line="120"/>
              <w:ind w:hanging="0" w:start="0" w:end="0"/>
              <w:jc w:val="start"/>
              <w:rPr>
                <w:rFonts w:ascii="Times New Roman" w:hAnsi="Times New Roman"/>
              </w:rPr>
            </w:pPr>
            <w:r>
              <w:rPr>
                <w:rFonts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58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spacing w:before="0" w:after="58"/>
              <w:ind w:hanging="0" w:start="0" w:end="0"/>
              <w:jc w:val="start"/>
              <w:rPr/>
            </w:pPr>
            <w:r>
              <w:rPr>
                <w:rFonts w:ascii="Times New Roman" w:hAnsi="Times New Roman"/>
              </w:rPr>
              <w:tab/>
              <w:t>A</w:t>
            </w:r>
          </w:p>
        </w:tc>
        <w:tc>
          <w:tcPr>
            <w:tcW w:w="1479" w:type="dxa"/>
            <w:tcBorders>
              <w:top w:val="single" w:sz="6" w:space="0" w:color="000000"/>
              <w:start w:val="single" w:sz="6" w:space="0" w:color="000000"/>
              <w:bottom w:val="single" w:sz="6" w:space="0" w:color="000000"/>
              <w:end w:val="single" w:sz="6" w:space="0" w:color="000000"/>
            </w:tcBorders>
          </w:tcPr>
          <w:p>
            <w:pPr>
              <w:pStyle w:val="Normal"/>
              <w:bidi w:val="0"/>
              <w:spacing w:lineRule="exact" w:line="120"/>
              <w:ind w:hanging="0" w:start="0" w:end="0"/>
              <w:jc w:val="start"/>
              <w:rPr>
                <w:rFonts w:ascii="Times New Roman" w:hAnsi="Times New Roman"/>
              </w:rPr>
            </w:pPr>
            <w:r>
              <w:rPr>
                <w:rFonts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spacing w:before="0" w:after="58"/>
              <w:ind w:hanging="0" w:start="0" w:end="0"/>
              <w:jc w:val="end"/>
              <w:rPr/>
            </w:pPr>
            <w:r>
              <w:rPr>
                <w:rFonts w:ascii="Times New Roman" w:hAnsi="Times New Roman"/>
              </w:rPr>
              <w:t xml:space="preserve"> </w:t>
            </w:r>
            <w:r>
              <w:rPr>
                <w:rFonts w:ascii="Times New Roman" w:hAnsi="Times New Roman"/>
              </w:rPr>
              <w:t>15,000,000</w:t>
            </w:r>
          </w:p>
        </w:tc>
        <w:tc>
          <w:tcPr>
            <w:tcW w:w="1588" w:type="dxa"/>
            <w:tcBorders>
              <w:top w:val="single" w:sz="6" w:space="0" w:color="000000"/>
              <w:start w:val="single" w:sz="6" w:space="0" w:color="000000"/>
              <w:bottom w:val="single" w:sz="6" w:space="0" w:color="000000"/>
              <w:end w:val="single" w:sz="6" w:space="0" w:color="000000"/>
            </w:tcBorders>
          </w:tcPr>
          <w:p>
            <w:pPr>
              <w:pStyle w:val="Normal"/>
              <w:bidi w:val="0"/>
              <w:spacing w:lineRule="exact" w:line="120"/>
              <w:ind w:hanging="0" w:start="0" w:end="0"/>
              <w:jc w:val="start"/>
              <w:rPr>
                <w:rFonts w:ascii="Times New Roman" w:hAnsi="Times New Roman"/>
              </w:rPr>
            </w:pPr>
            <w:r>
              <w:rPr>
                <w:rFonts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spacing w:before="0" w:after="58"/>
              <w:ind w:hanging="0" w:start="0" w:end="0"/>
              <w:jc w:val="end"/>
              <w:rPr/>
            </w:pPr>
            <w:r>
              <w:rPr>
                <w:rFonts w:ascii="Times New Roman" w:hAnsi="Times New Roman"/>
              </w:rPr>
              <w:t xml:space="preserve"> </w:t>
            </w:r>
            <w:r>
              <w:rPr>
                <w:rFonts w:ascii="Times New Roman" w:hAnsi="Times New Roman"/>
              </w:rPr>
              <w:t>500,000</w:t>
            </w:r>
          </w:p>
        </w:tc>
      </w:tr>
      <w:tr>
        <w:trPr/>
        <w:tc>
          <w:tcPr>
            <w:tcW w:w="2586" w:type="dxa"/>
            <w:tcBorders>
              <w:top w:val="single" w:sz="6" w:space="0" w:color="000000"/>
              <w:start w:val="single" w:sz="6" w:space="0" w:color="000000"/>
              <w:bottom w:val="single" w:sz="6" w:space="0" w:color="000000"/>
              <w:end w:val="single" w:sz="6" w:space="0" w:color="000000"/>
            </w:tcBorders>
          </w:tcPr>
          <w:p>
            <w:pPr>
              <w:pStyle w:val="Normal"/>
              <w:bidi w:val="0"/>
              <w:spacing w:lineRule="exact" w:line="120"/>
              <w:ind w:hanging="0" w:start="0" w:end="0"/>
              <w:jc w:val="start"/>
              <w:rPr>
                <w:rFonts w:ascii="Times New Roman" w:hAnsi="Times New Roman"/>
              </w:rPr>
            </w:pPr>
            <w:r>
              <w:rPr>
                <w:rFonts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58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spacing w:before="0" w:after="58"/>
              <w:ind w:hanging="0" w:start="0" w:end="0"/>
              <w:jc w:val="start"/>
              <w:rPr/>
            </w:pPr>
            <w:r>
              <w:rPr>
                <w:rFonts w:ascii="Times New Roman" w:hAnsi="Times New Roman"/>
              </w:rPr>
              <w:tab/>
              <w:t>A-</w:t>
            </w:r>
          </w:p>
        </w:tc>
        <w:tc>
          <w:tcPr>
            <w:tcW w:w="1479" w:type="dxa"/>
            <w:tcBorders>
              <w:top w:val="single" w:sz="6" w:space="0" w:color="000000"/>
              <w:start w:val="single" w:sz="6" w:space="0" w:color="000000"/>
              <w:bottom w:val="single" w:sz="6" w:space="0" w:color="000000"/>
              <w:end w:val="single" w:sz="6" w:space="0" w:color="000000"/>
            </w:tcBorders>
          </w:tcPr>
          <w:p>
            <w:pPr>
              <w:pStyle w:val="Normal"/>
              <w:bidi w:val="0"/>
              <w:spacing w:lineRule="exact" w:line="120"/>
              <w:ind w:hanging="0" w:start="0" w:end="0"/>
              <w:jc w:val="start"/>
              <w:rPr>
                <w:rFonts w:ascii="Times New Roman" w:hAnsi="Times New Roman"/>
              </w:rPr>
            </w:pPr>
            <w:r>
              <w:rPr>
                <w:rFonts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spacing w:before="0" w:after="58"/>
              <w:ind w:hanging="0" w:start="0" w:end="0"/>
              <w:jc w:val="end"/>
              <w:rPr/>
            </w:pPr>
            <w:r>
              <w:rPr>
                <w:rFonts w:ascii="Times New Roman" w:hAnsi="Times New Roman"/>
              </w:rPr>
              <w:t xml:space="preserve"> </w:t>
            </w:r>
            <w:r>
              <w:rPr>
                <w:rFonts w:ascii="Times New Roman" w:hAnsi="Times New Roman"/>
              </w:rPr>
              <w:t>15,000,000</w:t>
            </w:r>
          </w:p>
        </w:tc>
        <w:tc>
          <w:tcPr>
            <w:tcW w:w="1588" w:type="dxa"/>
            <w:tcBorders>
              <w:top w:val="single" w:sz="6" w:space="0" w:color="000000"/>
              <w:start w:val="single" w:sz="6" w:space="0" w:color="000000"/>
              <w:bottom w:val="single" w:sz="6" w:space="0" w:color="000000"/>
              <w:end w:val="single" w:sz="6" w:space="0" w:color="000000"/>
            </w:tcBorders>
          </w:tcPr>
          <w:p>
            <w:pPr>
              <w:pStyle w:val="Normal"/>
              <w:bidi w:val="0"/>
              <w:spacing w:lineRule="exact" w:line="120"/>
              <w:ind w:hanging="0" w:start="0" w:end="0"/>
              <w:jc w:val="start"/>
              <w:rPr>
                <w:rFonts w:ascii="Times New Roman" w:hAnsi="Times New Roman"/>
              </w:rPr>
            </w:pPr>
            <w:r>
              <w:rPr>
                <w:rFonts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spacing w:before="0" w:after="58"/>
              <w:ind w:hanging="0" w:start="0" w:end="0"/>
              <w:jc w:val="end"/>
              <w:rPr/>
            </w:pPr>
            <w:r>
              <w:rPr>
                <w:rFonts w:ascii="Times New Roman" w:hAnsi="Times New Roman"/>
              </w:rPr>
              <w:t xml:space="preserve"> </w:t>
            </w:r>
            <w:r>
              <w:rPr>
                <w:rFonts w:ascii="Times New Roman" w:hAnsi="Times New Roman"/>
              </w:rPr>
              <w:t>500,000</w:t>
            </w:r>
          </w:p>
        </w:tc>
      </w:tr>
      <w:tr>
        <w:trPr/>
        <w:tc>
          <w:tcPr>
            <w:tcW w:w="2586" w:type="dxa"/>
            <w:tcBorders>
              <w:top w:val="single" w:sz="6" w:space="0" w:color="000000"/>
              <w:start w:val="single" w:sz="6" w:space="0" w:color="000000"/>
              <w:bottom w:val="single" w:sz="6" w:space="0" w:color="000000"/>
              <w:end w:val="single" w:sz="6" w:space="0" w:color="000000"/>
            </w:tcBorders>
          </w:tcPr>
          <w:p>
            <w:pPr>
              <w:pStyle w:val="Normal"/>
              <w:bidi w:val="0"/>
              <w:spacing w:lineRule="exact" w:line="120"/>
              <w:ind w:hanging="0" w:start="0" w:end="0"/>
              <w:jc w:val="start"/>
              <w:rPr>
                <w:rFonts w:ascii="Times New Roman" w:hAnsi="Times New Roman"/>
              </w:rPr>
            </w:pPr>
            <w:r>
              <w:rPr>
                <w:rFonts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58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spacing w:before="0" w:after="58"/>
              <w:ind w:hanging="0" w:start="0" w:end="0"/>
              <w:jc w:val="start"/>
              <w:rPr/>
            </w:pPr>
            <w:r>
              <w:rPr>
                <w:rFonts w:ascii="Times New Roman" w:hAnsi="Times New Roman"/>
              </w:rPr>
              <w:tab/>
              <w:t>BBB+</w:t>
            </w:r>
          </w:p>
        </w:tc>
        <w:tc>
          <w:tcPr>
            <w:tcW w:w="1479" w:type="dxa"/>
            <w:tcBorders>
              <w:top w:val="single" w:sz="6" w:space="0" w:color="000000"/>
              <w:start w:val="single" w:sz="6" w:space="0" w:color="000000"/>
              <w:bottom w:val="single" w:sz="6" w:space="0" w:color="000000"/>
              <w:end w:val="single" w:sz="6" w:space="0" w:color="000000"/>
            </w:tcBorders>
          </w:tcPr>
          <w:p>
            <w:pPr>
              <w:pStyle w:val="Normal"/>
              <w:bidi w:val="0"/>
              <w:spacing w:lineRule="exact" w:line="120"/>
              <w:ind w:hanging="0" w:start="0" w:end="0"/>
              <w:jc w:val="start"/>
              <w:rPr>
                <w:rFonts w:ascii="Times New Roman" w:hAnsi="Times New Roman"/>
              </w:rPr>
            </w:pPr>
            <w:r>
              <w:rPr>
                <w:rFonts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spacing w:before="0" w:after="58"/>
              <w:ind w:hanging="0" w:start="0" w:end="0"/>
              <w:jc w:val="end"/>
              <w:rPr/>
            </w:pPr>
            <w:r>
              <w:rPr>
                <w:rFonts w:ascii="Times New Roman" w:hAnsi="Times New Roman"/>
              </w:rPr>
              <w:t xml:space="preserve"> </w:t>
            </w:r>
            <w:r>
              <w:rPr>
                <w:rFonts w:ascii="Times New Roman" w:hAnsi="Times New Roman"/>
              </w:rPr>
              <w:t>10,000,000</w:t>
            </w:r>
          </w:p>
        </w:tc>
        <w:tc>
          <w:tcPr>
            <w:tcW w:w="1588" w:type="dxa"/>
            <w:tcBorders>
              <w:top w:val="single" w:sz="6" w:space="0" w:color="000000"/>
              <w:start w:val="single" w:sz="6" w:space="0" w:color="000000"/>
              <w:bottom w:val="single" w:sz="6" w:space="0" w:color="000000"/>
              <w:end w:val="single" w:sz="6" w:space="0" w:color="000000"/>
            </w:tcBorders>
          </w:tcPr>
          <w:p>
            <w:pPr>
              <w:pStyle w:val="Normal"/>
              <w:bidi w:val="0"/>
              <w:spacing w:lineRule="exact" w:line="120"/>
              <w:ind w:hanging="0" w:start="0" w:end="0"/>
              <w:jc w:val="start"/>
              <w:rPr>
                <w:rFonts w:ascii="Times New Roman" w:hAnsi="Times New Roman"/>
              </w:rPr>
            </w:pPr>
            <w:r>
              <w:rPr>
                <w:rFonts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spacing w:before="0" w:after="58"/>
              <w:ind w:hanging="0" w:start="0" w:end="0"/>
              <w:jc w:val="end"/>
              <w:rPr/>
            </w:pPr>
            <w:r>
              <w:rPr>
                <w:rFonts w:ascii="Times New Roman" w:hAnsi="Times New Roman"/>
              </w:rPr>
              <w:t xml:space="preserve"> </w:t>
            </w:r>
            <w:r>
              <w:rPr>
                <w:rFonts w:ascii="Times New Roman" w:hAnsi="Times New Roman"/>
              </w:rPr>
              <w:t>500,000</w:t>
            </w:r>
          </w:p>
        </w:tc>
      </w:tr>
      <w:tr>
        <w:trPr/>
        <w:tc>
          <w:tcPr>
            <w:tcW w:w="2586" w:type="dxa"/>
            <w:tcBorders>
              <w:top w:val="single" w:sz="6" w:space="0" w:color="000000"/>
              <w:start w:val="single" w:sz="6" w:space="0" w:color="000000"/>
              <w:bottom w:val="single" w:sz="6" w:space="0" w:color="000000"/>
              <w:end w:val="single" w:sz="6" w:space="0" w:color="000000"/>
            </w:tcBorders>
          </w:tcPr>
          <w:p>
            <w:pPr>
              <w:pStyle w:val="Normal"/>
              <w:bidi w:val="0"/>
              <w:spacing w:lineRule="exact" w:line="120"/>
              <w:ind w:hanging="0" w:start="0" w:end="0"/>
              <w:jc w:val="start"/>
              <w:rPr>
                <w:rFonts w:ascii="Times New Roman" w:hAnsi="Times New Roman"/>
              </w:rPr>
            </w:pPr>
            <w:r>
              <w:rPr>
                <w:rFonts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58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spacing w:before="0" w:after="58"/>
              <w:ind w:hanging="0" w:start="0" w:end="0"/>
              <w:jc w:val="start"/>
              <w:rPr/>
            </w:pPr>
            <w:r>
              <w:rPr>
                <w:rFonts w:ascii="Times New Roman" w:hAnsi="Times New Roman"/>
              </w:rPr>
              <w:tab/>
              <w:t>BBB</w:t>
            </w:r>
          </w:p>
        </w:tc>
        <w:tc>
          <w:tcPr>
            <w:tcW w:w="1479" w:type="dxa"/>
            <w:tcBorders>
              <w:top w:val="single" w:sz="6" w:space="0" w:color="000000"/>
              <w:start w:val="single" w:sz="6" w:space="0" w:color="000000"/>
              <w:bottom w:val="single" w:sz="6" w:space="0" w:color="000000"/>
              <w:end w:val="single" w:sz="6" w:space="0" w:color="000000"/>
            </w:tcBorders>
          </w:tcPr>
          <w:p>
            <w:pPr>
              <w:pStyle w:val="Normal"/>
              <w:bidi w:val="0"/>
              <w:spacing w:lineRule="exact" w:line="120"/>
              <w:ind w:hanging="0" w:start="0" w:end="0"/>
              <w:jc w:val="start"/>
              <w:rPr>
                <w:rFonts w:ascii="Times New Roman" w:hAnsi="Times New Roman"/>
              </w:rPr>
            </w:pPr>
            <w:r>
              <w:rPr>
                <w:rFonts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spacing w:before="0" w:after="58"/>
              <w:ind w:hanging="0" w:start="0" w:end="0"/>
              <w:jc w:val="end"/>
              <w:rPr/>
            </w:pPr>
            <w:r>
              <w:rPr>
                <w:rFonts w:ascii="Times New Roman" w:hAnsi="Times New Roman"/>
              </w:rPr>
              <w:t xml:space="preserve"> </w:t>
            </w:r>
            <w:r>
              <w:rPr>
                <w:rFonts w:ascii="Times New Roman" w:hAnsi="Times New Roman"/>
              </w:rPr>
              <w:t>10,000,000</w:t>
            </w:r>
          </w:p>
        </w:tc>
        <w:tc>
          <w:tcPr>
            <w:tcW w:w="1588" w:type="dxa"/>
            <w:tcBorders>
              <w:top w:val="single" w:sz="6" w:space="0" w:color="000000"/>
              <w:start w:val="single" w:sz="6" w:space="0" w:color="000000"/>
              <w:bottom w:val="single" w:sz="6" w:space="0" w:color="000000"/>
              <w:end w:val="single" w:sz="6" w:space="0" w:color="000000"/>
            </w:tcBorders>
          </w:tcPr>
          <w:p>
            <w:pPr>
              <w:pStyle w:val="Normal"/>
              <w:bidi w:val="0"/>
              <w:spacing w:lineRule="exact" w:line="120"/>
              <w:ind w:hanging="0" w:start="0" w:end="0"/>
              <w:jc w:val="start"/>
              <w:rPr>
                <w:rFonts w:ascii="Times New Roman" w:hAnsi="Times New Roman"/>
              </w:rPr>
            </w:pPr>
            <w:r>
              <w:rPr>
                <w:rFonts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spacing w:before="0" w:after="58"/>
              <w:ind w:hanging="0" w:start="0" w:end="0"/>
              <w:jc w:val="end"/>
              <w:rPr/>
            </w:pPr>
            <w:r>
              <w:rPr>
                <w:rFonts w:ascii="Times New Roman" w:hAnsi="Times New Roman"/>
              </w:rPr>
              <w:t xml:space="preserve"> </w:t>
            </w:r>
            <w:r>
              <w:rPr>
                <w:rFonts w:ascii="Times New Roman" w:hAnsi="Times New Roman"/>
              </w:rPr>
              <w:t>500,000</w:t>
            </w:r>
          </w:p>
        </w:tc>
      </w:tr>
      <w:tr>
        <w:trPr/>
        <w:tc>
          <w:tcPr>
            <w:tcW w:w="2586" w:type="dxa"/>
            <w:tcBorders>
              <w:top w:val="single" w:sz="6" w:space="0" w:color="000000"/>
              <w:start w:val="single" w:sz="6" w:space="0" w:color="000000"/>
              <w:bottom w:val="single" w:sz="6" w:space="0" w:color="000000"/>
              <w:end w:val="single" w:sz="6" w:space="0" w:color="000000"/>
            </w:tcBorders>
          </w:tcPr>
          <w:p>
            <w:pPr>
              <w:pStyle w:val="Normal"/>
              <w:bidi w:val="0"/>
              <w:spacing w:lineRule="exact" w:line="120"/>
              <w:ind w:hanging="0" w:start="0" w:end="0"/>
              <w:jc w:val="start"/>
              <w:rPr>
                <w:rFonts w:ascii="Times New Roman" w:hAnsi="Times New Roman"/>
              </w:rPr>
            </w:pPr>
            <w:r>
              <w:rPr>
                <w:rFonts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58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spacing w:before="0" w:after="58"/>
              <w:ind w:hanging="0" w:start="0" w:end="0"/>
              <w:jc w:val="start"/>
              <w:rPr/>
            </w:pPr>
            <w:r>
              <w:rPr>
                <w:rFonts w:ascii="Times New Roman" w:hAnsi="Times New Roman"/>
              </w:rPr>
              <w:tab/>
              <w:t>BBB-</w:t>
            </w:r>
          </w:p>
        </w:tc>
        <w:tc>
          <w:tcPr>
            <w:tcW w:w="1479" w:type="dxa"/>
            <w:tcBorders>
              <w:top w:val="single" w:sz="6" w:space="0" w:color="000000"/>
              <w:start w:val="single" w:sz="6" w:space="0" w:color="000000"/>
              <w:bottom w:val="single" w:sz="6" w:space="0" w:color="000000"/>
              <w:end w:val="single" w:sz="6" w:space="0" w:color="000000"/>
            </w:tcBorders>
          </w:tcPr>
          <w:p>
            <w:pPr>
              <w:pStyle w:val="Normal"/>
              <w:bidi w:val="0"/>
              <w:spacing w:lineRule="exact" w:line="120"/>
              <w:ind w:hanging="0" w:start="0" w:end="0"/>
              <w:jc w:val="start"/>
              <w:rPr>
                <w:rFonts w:ascii="Times New Roman" w:hAnsi="Times New Roman"/>
              </w:rPr>
            </w:pPr>
            <w:r>
              <w:rPr>
                <w:rFonts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spacing w:before="0" w:after="58"/>
              <w:ind w:hanging="0" w:start="0" w:end="0"/>
              <w:jc w:val="end"/>
              <w:rPr/>
            </w:pPr>
            <w:r>
              <w:rPr>
                <w:rFonts w:ascii="Times New Roman" w:hAnsi="Times New Roman"/>
              </w:rPr>
              <w:t xml:space="preserve"> </w:t>
            </w:r>
            <w:r>
              <w:rPr>
                <w:rFonts w:ascii="Times New Roman" w:hAnsi="Times New Roman"/>
              </w:rPr>
              <w:t>10,000,000</w:t>
            </w:r>
          </w:p>
        </w:tc>
        <w:tc>
          <w:tcPr>
            <w:tcW w:w="1588" w:type="dxa"/>
            <w:tcBorders>
              <w:top w:val="single" w:sz="6" w:space="0" w:color="000000"/>
              <w:start w:val="single" w:sz="6" w:space="0" w:color="000000"/>
              <w:bottom w:val="single" w:sz="6" w:space="0" w:color="000000"/>
              <w:end w:val="single" w:sz="6" w:space="0" w:color="000000"/>
            </w:tcBorders>
          </w:tcPr>
          <w:p>
            <w:pPr>
              <w:pStyle w:val="Normal"/>
              <w:bidi w:val="0"/>
              <w:spacing w:lineRule="exact" w:line="120"/>
              <w:ind w:hanging="0" w:start="0" w:end="0"/>
              <w:jc w:val="start"/>
              <w:rPr>
                <w:rFonts w:ascii="Times New Roman" w:hAnsi="Times New Roman"/>
              </w:rPr>
            </w:pPr>
            <w:r>
              <w:rPr>
                <w:rFonts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spacing w:before="0" w:after="58"/>
              <w:ind w:hanging="0" w:start="0" w:end="0"/>
              <w:jc w:val="end"/>
              <w:rPr/>
            </w:pPr>
            <w:r>
              <w:rPr>
                <w:rFonts w:ascii="Times New Roman" w:hAnsi="Times New Roman"/>
              </w:rPr>
              <w:t xml:space="preserve"> </w:t>
            </w:r>
            <w:r>
              <w:rPr>
                <w:rFonts w:ascii="Times New Roman" w:hAnsi="Times New Roman"/>
              </w:rPr>
              <w:t>100,000</w:t>
            </w:r>
          </w:p>
        </w:tc>
      </w:tr>
      <w:tr>
        <w:trPr/>
        <w:tc>
          <w:tcPr>
            <w:tcW w:w="2586"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spacing w:lineRule="exact" w:line="120"/>
              <w:ind w:hanging="0" w:start="0" w:end="0"/>
              <w:jc w:val="start"/>
              <w:rPr>
                <w:rFonts w:ascii="Times New Roman" w:hAnsi="Times New Roman"/>
              </w:rPr>
            </w:pPr>
            <w:r>
              <w:rPr>
                <w:rFonts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58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spacing w:before="0" w:after="58"/>
              <w:ind w:hanging="0" w:start="0" w:end="0"/>
              <w:jc w:val="start"/>
              <w:rPr/>
            </w:pPr>
            <w:r>
              <w:rPr>
                <w:rFonts w:ascii="Times New Roman" w:hAnsi="Times New Roman"/>
              </w:rPr>
              <w:tab/>
              <w:t>BB+ or lower</w:t>
            </w:r>
          </w:p>
        </w:tc>
        <w:tc>
          <w:tcPr>
            <w:tcW w:w="1479"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spacing w:lineRule="exact" w:line="120"/>
              <w:ind w:hanging="0" w:start="0" w:end="0"/>
              <w:jc w:val="start"/>
              <w:rPr>
                <w:rFonts w:ascii="Times New Roman" w:hAnsi="Times New Roman"/>
              </w:rPr>
            </w:pPr>
            <w:r>
              <w:rPr>
                <w:rFonts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spacing w:before="0" w:after="58"/>
              <w:ind w:hanging="0" w:start="0" w:end="0"/>
              <w:jc w:val="end"/>
              <w:rPr/>
            </w:pPr>
            <w:r>
              <w:rPr>
                <w:rFonts w:ascii="Times New Roman" w:hAnsi="Times New Roman"/>
              </w:rPr>
              <w:t xml:space="preserve"> </w:t>
            </w:r>
            <w:r>
              <w:rPr>
                <w:rFonts w:ascii="Times New Roman" w:hAnsi="Times New Roman"/>
              </w:rPr>
              <w:t>-0-</w:t>
            </w:r>
          </w:p>
        </w:tc>
        <w:tc>
          <w:tcPr>
            <w:tcW w:w="1588"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spacing w:lineRule="exact" w:line="120"/>
              <w:ind w:hanging="0" w:start="0" w:end="0"/>
              <w:jc w:val="start"/>
              <w:rPr>
                <w:rFonts w:ascii="Times New Roman" w:hAnsi="Times New Roman"/>
              </w:rPr>
            </w:pPr>
            <w:r>
              <w:rPr>
                <w:rFonts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spacing w:before="0" w:after="58"/>
              <w:ind w:hanging="0" w:start="0" w:end="0"/>
              <w:jc w:val="end"/>
              <w:rPr/>
            </w:pPr>
            <w:r>
              <w:rPr>
                <w:rFonts w:ascii="Times New Roman" w:hAnsi="Times New Roman"/>
              </w:rPr>
              <w:t xml:space="preserve"> </w:t>
            </w:r>
            <w:r>
              <w:rPr>
                <w:rFonts w:ascii="Times New Roman" w:hAnsi="Times New Roman"/>
              </w:rPr>
              <w:t>100,000</w:t>
            </w:r>
          </w:p>
        </w:tc>
      </w:tr>
    </w:tbl>
    <w:p>
      <w:pPr>
        <w:sectPr>
          <w:headerReference w:type="default" r:id="rId14"/>
          <w:headerReference w:type="first" r:id="rId15"/>
          <w:footerReference w:type="even" r:id="rId16"/>
          <w:footerReference w:type="default" r:id="rId17"/>
          <w:footerReference w:type="first" r:id="rId18"/>
          <w:type w:val="nextPage"/>
          <w:pgSz w:w="12240" w:h="15840"/>
          <w:pgMar w:left="1440" w:right="1440" w:gutter="0" w:header="1440" w:top="1497" w:footer="720" w:bottom="777"/>
          <w:pgNumType w:fmt="decimal"/>
          <w:formProt w:val="false"/>
          <w:textDirection w:val="lrTb"/>
          <w:docGrid w:type="default" w:linePitch="100" w:charSpace="0"/>
        </w:sectPr>
        <w:pStyle w:val="Normal"/>
        <w:tabs>
          <w:tab w:val="clear" w:pos="720"/>
          <w:tab w:val="left" w:pos="-1440" w:leader="none"/>
          <w:tab w:val="left" w:pos="450" w:leader="none"/>
          <w:tab w:val="center" w:pos="2520" w:leader="none"/>
          <w:tab w:val="center" w:pos="7920" w:leader="none"/>
          <w:tab w:val="left" w:pos="9720" w:leader="none"/>
          <w:tab w:val="left" w:pos="10080" w:leader="none"/>
        </w:tabs>
        <w:suppressAutoHyphens w:val="true"/>
        <w:bidi w:val="0"/>
        <w:ind w:hanging="0" w:start="0" w:end="0"/>
        <w:jc w:val="start"/>
        <w:rPr>
          <w:rFonts w:ascii="Times New Roman" w:hAnsi="Times New Roman"/>
          <w:u w:val="single"/>
        </w:rPr>
      </w:pPr>
      <w:r>
        <w:rPr>
          <w:rFonts w:ascii="Times New Roman" w:hAnsi="Times New Roman"/>
          <w:u w:val="single"/>
        </w:rPr>
      </w:r>
    </w:p>
    <w:p>
      <w:pPr>
        <w:pStyle w:val="Normal"/>
        <w:tabs>
          <w:tab w:val="clear" w:pos="720"/>
          <w:tab w:val="left" w:pos="-1440" w:leader="none"/>
          <w:tab w:val="left" w:pos="450" w:leader="none"/>
          <w:tab w:val="center" w:pos="2520" w:leader="none"/>
          <w:tab w:val="center" w:pos="7920" w:leader="none"/>
          <w:tab w:val="left" w:pos="9720" w:leader="none"/>
          <w:tab w:val="left" w:pos="10080" w:leader="none"/>
        </w:tabs>
        <w:suppressAutoHyphens w:val="true"/>
        <w:bidi w:val="0"/>
        <w:ind w:hanging="0" w:start="0" w:end="0"/>
        <w:jc w:val="center"/>
        <w:rPr>
          <w:rFonts w:ascii="Times New Roman" w:hAnsi="Times New Roman"/>
          <w:u w:val="single"/>
        </w:rPr>
      </w:pPr>
      <w:r>
        <w:rPr>
          <w:rFonts w:ascii="Times New Roman" w:hAnsi="Times New Roman"/>
          <w:u w:val="single"/>
        </w:rPr>
        <w:t>Exhibit B</w:t>
      </w:r>
    </w:p>
    <w:p>
      <w:pPr>
        <w:pStyle w:val="Normal"/>
        <w:tabs>
          <w:tab w:val="clear" w:pos="720"/>
          <w:tab w:val="center" w:pos="4680" w:leader="none"/>
        </w:tabs>
        <w:suppressAutoHyphens w:val="true"/>
        <w:bidi w:val="0"/>
        <w:ind w:hanging="0" w:start="0" w:end="0"/>
        <w:jc w:val="both"/>
        <w:rPr>
          <w:rFonts w:ascii="Times New Roman" w:hAnsi="Times New Roman"/>
        </w:rPr>
      </w:pPr>
      <w:r>
        <w:rPr>
          <w:rFonts w:ascii="Times New Roman" w:hAnsi="Times New Roman"/>
        </w:rPr>
        <w:tab/>
      </w:r>
    </w:p>
    <w:p>
      <w:pPr>
        <w:pStyle w:val="Normal"/>
        <w:tabs>
          <w:tab w:val="clear" w:pos="720"/>
          <w:tab w:val="left" w:pos="-1440" w:leader="none"/>
          <w:tab w:val="left" w:pos="450" w:leader="none"/>
          <w:tab w:val="center" w:pos="2520" w:leader="none"/>
          <w:tab w:val="center" w:pos="7920" w:leader="none"/>
          <w:tab w:val="left" w:pos="9720" w:leader="none"/>
          <w:tab w:val="left" w:pos="10080" w:leader="none"/>
        </w:tabs>
        <w:suppressAutoHyphens w:val="true"/>
        <w:bidi w:val="0"/>
        <w:ind w:hanging="0" w:start="0" w:end="0"/>
        <w:jc w:val="both"/>
        <w:rPr>
          <w:rFonts w:ascii="Times New Roman" w:hAnsi="Times New Roman"/>
        </w:rPr>
      </w:pPr>
      <w:r>
        <w:rPr>
          <w:rFonts w:ascii="Times New Roman" w:hAnsi="Times New Roman"/>
        </w:rPr>
      </w:r>
    </w:p>
    <w:p>
      <w:pPr>
        <w:pStyle w:val="Normal"/>
        <w:tabs>
          <w:tab w:val="clear" w:pos="720"/>
          <w:tab w:val="left" w:pos="-1440" w:leader="none"/>
          <w:tab w:val="left" w:pos="450" w:leader="none"/>
          <w:tab w:val="center" w:pos="2520" w:leader="none"/>
          <w:tab w:val="center" w:pos="7920" w:leader="none"/>
          <w:tab w:val="left" w:pos="9720" w:leader="none"/>
          <w:tab w:val="left" w:pos="10080" w:leader="none"/>
        </w:tabs>
        <w:suppressAutoHyphens w:val="true"/>
        <w:bidi w:val="0"/>
        <w:ind w:hanging="0" w:start="0" w:end="0"/>
        <w:jc w:val="both"/>
        <w:rPr>
          <w:rFonts w:ascii="Times New Roman" w:hAnsi="Times New Roman"/>
        </w:rPr>
      </w:pPr>
      <w:r>
        <w:rPr>
          <w:rFonts w:ascii="Times New Roman" w:hAnsi="Times New Roman"/>
        </w:rPr>
        <w:tab/>
        <w:tab/>
      </w:r>
      <w:r>
        <w:rPr>
          <w:rFonts w:ascii="Times New Roman" w:hAnsi="Times New Roman"/>
          <w:u w:val="single"/>
        </w:rPr>
        <w:t>Security</w:t>
      </w:r>
      <w:r>
        <w:rPr>
          <w:rFonts w:ascii="Times New Roman" w:hAnsi="Times New Roman"/>
        </w:rPr>
        <w:tab/>
      </w:r>
      <w:r>
        <w:rPr>
          <w:rFonts w:ascii="Times New Roman" w:hAnsi="Times New Roman"/>
          <w:u w:val="single"/>
        </w:rPr>
        <w:t>Percentage</w:t>
      </w:r>
    </w:p>
    <w:tbl>
      <w:tblPr>
        <w:tblW w:w="10710" w:type="dxa"/>
        <w:jc w:val="start"/>
        <w:tblInd w:w="0" w:type="dxa"/>
        <w:tblLayout w:type="fixed"/>
        <w:tblCellMar>
          <w:top w:w="0" w:type="dxa"/>
          <w:start w:w="675" w:type="dxa"/>
          <w:bottom w:w="0" w:type="dxa"/>
          <w:end w:w="675" w:type="dxa"/>
        </w:tblCellMar>
      </w:tblPr>
      <w:tblGrid>
        <w:gridCol w:w="6750"/>
        <w:gridCol w:w="3959"/>
      </w:tblGrid>
      <w:tr>
        <w:trPr/>
        <w:tc>
          <w:tcPr>
            <w:tcW w:w="6750" w:type="dxa"/>
            <w:tcBorders/>
          </w:tcPr>
          <w:p>
            <w:pPr>
              <w:pStyle w:val="Normal"/>
              <w:tabs>
                <w:tab w:val="clear" w:pos="720"/>
                <w:tab w:val="left" w:pos="-1440" w:leader="none"/>
                <w:tab w:val="left" w:pos="450" w:leader="none"/>
                <w:tab w:val="center" w:pos="2520" w:leader="none"/>
                <w:tab w:val="center" w:pos="7920" w:leader="none"/>
                <w:tab w:val="left" w:pos="9720" w:leader="none"/>
                <w:tab w:val="left" w:pos="10080" w:leader="none"/>
              </w:tabs>
              <w:suppressAutoHyphens w:val="true"/>
              <w:bidi w:val="0"/>
              <w:ind w:hanging="0" w:start="0" w:end="0"/>
              <w:jc w:val="both"/>
              <w:rPr>
                <w:rFonts w:ascii="Times New Roman" w:hAnsi="Times New Roman"/>
              </w:rPr>
            </w:pPr>
            <w:r>
              <w:rPr>
                <w:rFonts w:ascii="Times New Roman" w:hAnsi="Times New Roman"/>
              </w:rPr>
            </w:r>
          </w:p>
        </w:tc>
        <w:tc>
          <w:tcPr>
            <w:tcW w:w="3959" w:type="dxa"/>
            <w:tcBorders/>
          </w:tcPr>
          <w:p>
            <w:pPr>
              <w:pStyle w:val="Normal"/>
              <w:tabs>
                <w:tab w:val="clear" w:pos="720"/>
                <w:tab w:val="left" w:pos="-1440" w:leader="none"/>
                <w:tab w:val="left" w:pos="450" w:leader="none"/>
                <w:tab w:val="center" w:pos="2520" w:leader="none"/>
                <w:tab w:val="center" w:pos="7920" w:leader="none"/>
                <w:tab w:val="left" w:pos="9720" w:leader="none"/>
                <w:tab w:val="left" w:pos="10080" w:leader="none"/>
              </w:tabs>
              <w:suppressAutoHyphens w:val="true"/>
              <w:bidi w:val="0"/>
              <w:ind w:hanging="0" w:start="0" w:end="0"/>
              <w:jc w:val="both"/>
              <w:rPr>
                <w:rFonts w:ascii="Times New Roman" w:hAnsi="Times New Roman"/>
              </w:rPr>
            </w:pPr>
            <w:r>
              <w:rPr>
                <w:rFonts w:ascii="Times New Roman" w:hAnsi="Times New Roman"/>
              </w:rPr>
            </w:r>
          </w:p>
        </w:tc>
      </w:tr>
      <w:tr>
        <w:trPr/>
        <w:tc>
          <w:tcPr>
            <w:tcW w:w="6750" w:type="dxa"/>
            <w:tcBorders/>
          </w:tcPr>
          <w:p>
            <w:pPr>
              <w:pStyle w:val="Normal"/>
              <w:tabs>
                <w:tab w:val="clear" w:pos="720"/>
                <w:tab w:val="left" w:pos="-1440" w:leader="none"/>
                <w:tab w:val="left" w:pos="540" w:leader="none"/>
                <w:tab w:val="center" w:pos="1260" w:leader="none"/>
                <w:tab w:val="left" w:pos="3330" w:leader="none"/>
                <w:tab w:val="center" w:pos="7470" w:leader="none"/>
                <w:tab w:val="left" w:pos="9720" w:leader="none"/>
                <w:tab w:val="left" w:pos="10080" w:leader="none"/>
              </w:tabs>
              <w:suppressAutoHyphens w:val="true"/>
              <w:bidi w:val="0"/>
              <w:ind w:hanging="0" w:start="0" w:end="0"/>
              <w:jc w:val="both"/>
              <w:rPr/>
            </w:pPr>
            <w:r>
              <w:rPr>
                <w:rFonts w:ascii="Times New Roman" w:hAnsi="Times New Roman"/>
              </w:rPr>
              <w:t>1.      Securities issued or directly and fully guaranteed or insured by the United States of America having maturities of five years or less from the date such Securities are delivered as Margin.</w:t>
            </w:r>
          </w:p>
        </w:tc>
        <w:tc>
          <w:tcPr>
            <w:tcW w:w="3959" w:type="dxa"/>
            <w:tcBorders/>
          </w:tcPr>
          <w:p>
            <w:pPr>
              <w:pStyle w:val="Normal"/>
              <w:tabs>
                <w:tab w:val="clear" w:pos="720"/>
                <w:tab w:val="left" w:pos="-1440" w:leader="none"/>
                <w:tab w:val="center" w:pos="1260" w:leader="none"/>
                <w:tab w:val="left" w:pos="3330" w:leader="none"/>
                <w:tab w:val="center" w:pos="7470" w:leader="none"/>
                <w:tab w:val="left" w:pos="9720" w:leader="none"/>
                <w:tab w:val="left" w:pos="10080" w:leader="none"/>
              </w:tabs>
              <w:suppressAutoHyphens w:val="true"/>
              <w:bidi w:val="0"/>
              <w:ind w:hanging="0" w:start="0" w:end="0"/>
              <w:jc w:val="both"/>
              <w:rPr>
                <w:rFonts w:ascii="Times New Roman" w:hAnsi="Times New Roman"/>
              </w:rPr>
            </w:pPr>
            <w:r>
              <w:rPr>
                <w:rFonts w:ascii="Times New Roman" w:hAnsi="Times New Roman"/>
              </w:rPr>
              <w:tab/>
              <w:t>98%</w:t>
            </w:r>
          </w:p>
          <w:p>
            <w:pPr>
              <w:pStyle w:val="Normal"/>
              <w:tabs>
                <w:tab w:val="clear" w:pos="720"/>
                <w:tab w:val="left" w:pos="-1440" w:leader="none"/>
                <w:tab w:val="center" w:pos="1260" w:leader="none"/>
                <w:tab w:val="left" w:pos="3330" w:leader="none"/>
                <w:tab w:val="center" w:pos="7470" w:leader="none"/>
                <w:tab w:val="left" w:pos="9720" w:leader="none"/>
                <w:tab w:val="left" w:pos="10080" w:leader="none"/>
              </w:tabs>
              <w:suppressAutoHyphens w:val="true"/>
              <w:bidi w:val="0"/>
              <w:ind w:hanging="0" w:start="0" w:end="0"/>
              <w:jc w:val="both"/>
              <w:rPr>
                <w:rFonts w:ascii="Times New Roman" w:hAnsi="Times New Roman"/>
              </w:rPr>
            </w:pPr>
            <w:r>
              <w:rPr>
                <w:rFonts w:ascii="Times New Roman" w:hAnsi="Times New Roman"/>
              </w:rPr>
            </w:r>
          </w:p>
          <w:p>
            <w:pPr>
              <w:pStyle w:val="Normal"/>
              <w:tabs>
                <w:tab w:val="clear" w:pos="720"/>
                <w:tab w:val="left" w:pos="-1440" w:leader="none"/>
                <w:tab w:val="center" w:pos="1260" w:leader="none"/>
                <w:tab w:val="left" w:pos="3330" w:leader="none"/>
                <w:tab w:val="center" w:pos="7470" w:leader="none"/>
                <w:tab w:val="left" w:pos="9720" w:leader="none"/>
                <w:tab w:val="left" w:pos="10080" w:leader="none"/>
              </w:tabs>
              <w:suppressAutoHyphens w:val="true"/>
              <w:bidi w:val="0"/>
              <w:ind w:hanging="0" w:start="0" w:end="0"/>
              <w:jc w:val="both"/>
              <w:rPr>
                <w:rFonts w:ascii="Times New Roman" w:hAnsi="Times New Roman"/>
              </w:rPr>
            </w:pPr>
            <w:r>
              <w:rPr>
                <w:rFonts w:ascii="Times New Roman" w:hAnsi="Times New Roman"/>
              </w:rPr>
            </w:r>
          </w:p>
        </w:tc>
      </w:tr>
    </w:tbl>
    <w:p>
      <w:pPr>
        <w:pStyle w:val="Normal"/>
        <w:tabs>
          <w:tab w:val="clear" w:pos="720"/>
          <w:tab w:val="left" w:pos="-1440" w:leader="none"/>
          <w:tab w:val="center" w:pos="1260" w:leader="none"/>
          <w:tab w:val="left" w:pos="3330" w:leader="none"/>
          <w:tab w:val="center" w:pos="7470" w:leader="none"/>
          <w:tab w:val="left" w:pos="9720" w:leader="none"/>
          <w:tab w:val="left" w:pos="10080" w:leader="none"/>
        </w:tabs>
        <w:suppressAutoHyphens w:val="true"/>
        <w:bidi w:val="0"/>
        <w:ind w:hanging="0" w:start="0" w:end="0"/>
        <w:jc w:val="both"/>
        <w:rPr>
          <w:rFonts w:ascii="Times New Roman" w:hAnsi="Times New Roman"/>
        </w:rPr>
      </w:pPr>
      <w:r>
        <w:rPr>
          <w:rFonts w:ascii="Times New Roman" w:hAnsi="Times New Roman"/>
        </w:rPr>
      </w:r>
    </w:p>
    <w:tbl>
      <w:tblPr>
        <w:tblW w:w="10710" w:type="dxa"/>
        <w:jc w:val="start"/>
        <w:tblInd w:w="0" w:type="dxa"/>
        <w:tblLayout w:type="fixed"/>
        <w:tblCellMar>
          <w:top w:w="0" w:type="dxa"/>
          <w:start w:w="675" w:type="dxa"/>
          <w:bottom w:w="0" w:type="dxa"/>
          <w:end w:w="675" w:type="dxa"/>
        </w:tblCellMar>
      </w:tblPr>
      <w:tblGrid>
        <w:gridCol w:w="6750"/>
        <w:gridCol w:w="3959"/>
      </w:tblGrid>
      <w:tr>
        <w:trPr/>
        <w:tc>
          <w:tcPr>
            <w:tcW w:w="6750" w:type="dxa"/>
            <w:tcBorders/>
          </w:tcPr>
          <w:p>
            <w:pPr>
              <w:pStyle w:val="Normal"/>
              <w:tabs>
                <w:tab w:val="clear" w:pos="720"/>
                <w:tab w:val="left" w:pos="-1440" w:leader="none"/>
                <w:tab w:val="left" w:pos="540" w:leader="none"/>
                <w:tab w:val="center" w:pos="1260" w:leader="none"/>
                <w:tab w:val="left" w:pos="3330" w:leader="none"/>
                <w:tab w:val="center" w:pos="7470" w:leader="none"/>
                <w:tab w:val="left" w:pos="9720" w:leader="none"/>
                <w:tab w:val="left" w:pos="10080" w:leader="none"/>
              </w:tabs>
              <w:suppressAutoHyphens w:val="true"/>
              <w:bidi w:val="0"/>
              <w:ind w:hanging="0" w:start="0" w:end="0"/>
              <w:jc w:val="both"/>
              <w:rPr/>
            </w:pPr>
            <w:r>
              <w:rPr>
                <w:rFonts w:ascii="Times New Roman" w:hAnsi="Times New Roman"/>
              </w:rPr>
              <w:t>2.</w:t>
              <w:tab/>
              <w:t xml:space="preserve">Securities issued or directly and fully guaranteed or insured by the United States of America having maturities of more than five years but less than ten years from the date such Securities are delivered as Margin.    </w:t>
            </w:r>
          </w:p>
        </w:tc>
        <w:tc>
          <w:tcPr>
            <w:tcW w:w="3959" w:type="dxa"/>
            <w:tcBorders/>
          </w:tcPr>
          <w:p>
            <w:pPr>
              <w:pStyle w:val="Normal"/>
              <w:tabs>
                <w:tab w:val="clear" w:pos="720"/>
                <w:tab w:val="left" w:pos="-1440" w:leader="none"/>
                <w:tab w:val="left" w:pos="540" w:leader="none"/>
                <w:tab w:val="center" w:pos="1260" w:leader="none"/>
                <w:tab w:val="left" w:pos="3330" w:leader="none"/>
                <w:tab w:val="center" w:pos="7470" w:leader="none"/>
                <w:tab w:val="left" w:pos="9720" w:leader="none"/>
                <w:tab w:val="left" w:pos="10080" w:leader="none"/>
              </w:tabs>
              <w:suppressAutoHyphens w:val="true"/>
              <w:bidi w:val="0"/>
              <w:ind w:hanging="0" w:start="0" w:end="0"/>
              <w:jc w:val="both"/>
              <w:rPr/>
            </w:pPr>
            <w:r>
              <w:rPr>
                <w:rFonts w:ascii="Times New Roman" w:hAnsi="Times New Roman"/>
              </w:rPr>
              <w:tab/>
              <w:tab/>
              <w:t>95%</w:t>
            </w:r>
          </w:p>
        </w:tc>
      </w:tr>
      <w:tr>
        <w:trPr/>
        <w:tc>
          <w:tcPr>
            <w:tcW w:w="6750" w:type="dxa"/>
            <w:tcBorders/>
          </w:tcPr>
          <w:p>
            <w:pPr>
              <w:pStyle w:val="Normal"/>
              <w:tabs>
                <w:tab w:val="clear" w:pos="720"/>
                <w:tab w:val="left" w:pos="-1440" w:leader="none"/>
                <w:tab w:val="left" w:pos="540" w:leader="none"/>
                <w:tab w:val="center" w:pos="1260" w:leader="none"/>
                <w:tab w:val="left" w:pos="3330" w:leader="none"/>
                <w:tab w:val="center" w:pos="7470" w:leader="none"/>
                <w:tab w:val="left" w:pos="9720" w:leader="none"/>
                <w:tab w:val="left" w:pos="10080" w:leader="none"/>
              </w:tabs>
              <w:suppressAutoHyphens w:val="true"/>
              <w:bidi w:val="0"/>
              <w:ind w:hanging="0" w:start="0" w:end="0"/>
              <w:jc w:val="both"/>
              <w:rPr>
                <w:rFonts w:ascii="Times New Roman" w:hAnsi="Times New Roman"/>
              </w:rPr>
            </w:pPr>
            <w:r>
              <w:rPr>
                <w:rFonts w:ascii="Times New Roman" w:hAnsi="Times New Roman"/>
              </w:rPr>
            </w:r>
          </w:p>
        </w:tc>
        <w:tc>
          <w:tcPr>
            <w:tcW w:w="3959" w:type="dxa"/>
            <w:tcBorders/>
          </w:tcPr>
          <w:p>
            <w:pPr>
              <w:pStyle w:val="Normal"/>
              <w:tabs>
                <w:tab w:val="clear" w:pos="720"/>
                <w:tab w:val="left" w:pos="-1440" w:leader="none"/>
                <w:tab w:val="left" w:pos="540" w:leader="none"/>
                <w:tab w:val="center" w:pos="1260" w:leader="none"/>
                <w:tab w:val="left" w:pos="3330" w:leader="none"/>
                <w:tab w:val="center" w:pos="7470" w:leader="none"/>
                <w:tab w:val="left" w:pos="9720" w:leader="none"/>
                <w:tab w:val="left" w:pos="10080" w:leader="none"/>
              </w:tabs>
              <w:suppressAutoHyphens w:val="true"/>
              <w:bidi w:val="0"/>
              <w:ind w:hanging="0" w:start="0" w:end="0"/>
              <w:jc w:val="both"/>
              <w:rPr>
                <w:rFonts w:ascii="Times New Roman" w:hAnsi="Times New Roman"/>
              </w:rPr>
            </w:pPr>
            <w:r>
              <w:rPr>
                <w:rFonts w:ascii="Times New Roman" w:hAnsi="Times New Roman"/>
              </w:rPr>
            </w:r>
          </w:p>
        </w:tc>
      </w:tr>
      <w:tr>
        <w:trPr/>
        <w:tc>
          <w:tcPr>
            <w:tcW w:w="6750" w:type="dxa"/>
            <w:tcBorders/>
          </w:tcPr>
          <w:p>
            <w:pPr>
              <w:pStyle w:val="Normal"/>
              <w:tabs>
                <w:tab w:val="clear" w:pos="720"/>
                <w:tab w:val="left" w:pos="-1440" w:leader="none"/>
                <w:tab w:val="left" w:pos="540" w:leader="none"/>
                <w:tab w:val="center" w:pos="1260" w:leader="none"/>
                <w:tab w:val="left" w:pos="3330" w:leader="none"/>
                <w:tab w:val="center" w:pos="7470" w:leader="none"/>
                <w:tab w:val="left" w:pos="9720" w:leader="none"/>
                <w:tab w:val="left" w:pos="10080" w:leader="none"/>
              </w:tabs>
              <w:suppressAutoHyphens w:val="true"/>
              <w:bidi w:val="0"/>
              <w:ind w:hanging="0" w:start="0" w:end="0"/>
              <w:jc w:val="both"/>
              <w:rPr/>
            </w:pPr>
            <w:r>
              <w:rPr>
                <w:rFonts w:ascii="Times New Roman" w:hAnsi="Times New Roman"/>
              </w:rPr>
              <w:t>3.     Securities issued or directly and fully guaranteed or insured by the United States of America having maturities of ten years or more from the date such Securities are delivered as Margin.</w:t>
            </w:r>
          </w:p>
        </w:tc>
        <w:tc>
          <w:tcPr>
            <w:tcW w:w="3959" w:type="dxa"/>
            <w:tcBorders/>
          </w:tcPr>
          <w:p>
            <w:pPr>
              <w:pStyle w:val="Normal"/>
              <w:tabs>
                <w:tab w:val="clear" w:pos="720"/>
                <w:tab w:val="left" w:pos="-1440" w:leader="none"/>
                <w:tab w:val="left" w:pos="900" w:leader="none"/>
                <w:tab w:val="center" w:pos="1260" w:leader="none"/>
                <w:tab w:val="left" w:pos="3330" w:leader="none"/>
                <w:tab w:val="center" w:pos="7470" w:leader="none"/>
                <w:tab w:val="left" w:pos="9720" w:leader="none"/>
                <w:tab w:val="left" w:pos="10080" w:leader="none"/>
              </w:tabs>
              <w:suppressAutoHyphens w:val="true"/>
              <w:bidi w:val="0"/>
              <w:ind w:hanging="0" w:start="0" w:end="0"/>
              <w:jc w:val="both"/>
              <w:rPr/>
            </w:pPr>
            <w:r>
              <w:rPr>
                <w:rFonts w:ascii="Times New Roman" w:hAnsi="Times New Roman"/>
              </w:rPr>
              <w:t xml:space="preserve">                  </w:t>
            </w:r>
            <w:r>
              <w:rPr>
                <w:rFonts w:ascii="Times New Roman" w:hAnsi="Times New Roman"/>
              </w:rPr>
              <w:t>95%</w:t>
            </w:r>
          </w:p>
        </w:tc>
      </w:tr>
    </w:tbl>
    <w:p>
      <w:pPr>
        <w:pStyle w:val="Normal"/>
        <w:bidi w:val="0"/>
        <w:ind w:hanging="0" w:start="0" w:end="0"/>
        <w:jc w:val="start"/>
        <w:rPr>
          <w:rFonts w:ascii="Times New Roman" w:hAnsi="Times New Roman"/>
        </w:rPr>
      </w:pPr>
      <w:r>
        <w:rPr>
          <w:rFonts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sz w:val="23"/>
        </w:rPr>
      </w:pPr>
      <w:r>
        <w:rPr>
          <w:rFonts w:ascii="Times New Roman" w:hAnsi="Times New Roman"/>
          <w:sz w:val="23"/>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t>------------------ COMPARISON OF HEADERS ------------------</w:t>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t>-HEADER 1-</w:t>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t>-HEADER 2-</w:t>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t>Header Discontinued</w:t>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t>------------------ COMPARISON OF FOOTERS ------------------</w:t>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t>-FOOTER 1-</w:t>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strike/>
        </w:rPr>
        <w:t>404917_3.DOC</w:t>
      </w:r>
      <w:r>
        <w:rPr/>
        <w:t xml:space="preserve"> </w:t>
      </w:r>
      <w:r>
        <w:rPr>
          <w:b/>
          <w:u w:val="double"/>
        </w:rPr>
        <w:t>404917_4.DOC</w:t>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t>2</w:t>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t>-FOOTER 2-</w:t>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t xml:space="preserve">[Signature Page - Margin Agreement between </w:t>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t>Enron North America Corp. and Mahonia Limited]</w:t>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t>-FOOTER 3-</w:t>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t>Exhibit B</w:t>
      </w:r>
    </w:p>
    <w:sectPr>
      <w:headerReference w:type="default" r:id="rId19"/>
      <w:headerReference w:type="first" r:id="rId20"/>
      <w:footerReference w:type="default" r:id="rId21"/>
      <w:footerReference w:type="first" r:id="rId22"/>
      <w:type w:val="nextPage"/>
      <w:pgSz w:w="12240" w:h="15840"/>
      <w:pgMar w:left="1440" w:right="1440" w:gutter="0" w:header="1440" w:top="1497" w:footer="720" w:bottom="77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etter Gothic">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ind w:hanging="0" w:start="0" w:end="0"/>
      <w:jc w:val="start"/>
      <w:rPr>
        <w:sz w:val="16"/>
      </w:rPr>
    </w:pPr>
    <w:r>
      <w:rPr>
        <w:sz w:val="16"/>
      </w:rPr>
    </w:r>
  </w:p>
  <w:p>
    <w:pPr>
      <w:pStyle w:val="Normal"/>
      <w:bidi w:val="0"/>
      <w:ind w:hanging="0" w:start="0" w:end="0"/>
      <w:jc w:val="center"/>
      <w:rPr>
        <w:rFonts w:ascii="Times New Roman" w:hAnsi="Times New Roman"/>
        <w:sz w:val="20"/>
      </w:rPr>
    </w:pPr>
    <w:r>
      <w:rPr>
        <w:rFonts w:ascii="Times New Roman" w:hAnsi="Times New Roman"/>
        <w:sz w:val="20"/>
      </w:rPr>
      <w:t>Exhibit B</w: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sz w:val="16"/>
      </w:rPr>
    </w:pPr>
    <w:r>
      <w:rPr>
        <w:rFonts w:ascii="Times New Roman" w:hAnsi="Times New Roman"/>
        <w:sz w:val="16"/>
      </w:rPr>
    </w:r>
  </w:p>
  <w:p>
    <w:pPr>
      <w:pStyle w:val="Footer"/>
      <w:bidi w:val="0"/>
      <w:jc w:val="start"/>
      <w:rPr>
        <w:rFonts w:ascii="Times New Roman" w:hAnsi="Times New Roman"/>
        <w:sz w:val="16"/>
      </w:rPr>
    </w:pPr>
    <w:r>
      <w:rPr>
        <w:rFonts w:ascii="Times New Roman" w:hAnsi="Times New Roman"/>
        <w:sz w:val="16"/>
        <w:lang w:val="en-CA" w:eastAsia="en-CA"/>
      </w:rPr>
      <w:fldChar w:fldCharType="begin"/>
    </w:r>
    <w:r>
      <w:rPr>
        <w:sz w:val="16"/>
        <w:rFonts w:ascii="Times New Roman" w:hAnsi="Times New Roman"/>
        <w:lang w:val="en-CA" w:eastAsia="en-CA"/>
      </w:rPr>
      <w:instrText xml:space="preserve"> FILENAME </w:instrText>
    </w:r>
    <w:r>
      <w:rPr>
        <w:sz w:val="16"/>
        <w:rFonts w:ascii="Times New Roman" w:hAnsi="Times New Roman"/>
        <w:lang w:val="en-CA" w:eastAsia="en-CA"/>
      </w:rPr>
      <w:fldChar w:fldCharType="separate"/>
    </w:r>
    <w:r>
      <w:rPr>
        <w:sz w:val="16"/>
        <w:rFonts w:ascii="Times New Roman" w:hAnsi="Times New Roman"/>
        <w:lang w:val="en-CA" w:eastAsia="en-CA"/>
      </w:rPr>
      <w:t>Houston_418317_12.DOC</w:t>
    </w:r>
    <w:r>
      <w:rPr>
        <w:sz w:val="16"/>
        <w:rFonts w:ascii="Times New Roman" w:hAnsi="Times New Roman"/>
        <w:lang w:val="en-CA" w:eastAsia="en-CA"/>
      </w:rPr>
      <w:fldChar w:fldCharType="end"/>
    </w:r>
  </w:p>
  <w:p>
    <w:pPr>
      <w:pStyle w:val="Normal"/>
      <w:bidi w:val="0"/>
      <w:ind w:hanging="0" w:start="0" w:end="0"/>
      <w:jc w:val="center"/>
      <w:rPr/>
    </w:pPr>
    <w:r>
      <w:rPr>
        <w:rStyle w:val="PageNumber"/>
        <w:rFonts w:ascii="Times New Roman" w:hAnsi="Times New Roman"/>
        <w:lang w:val="en-CA" w:eastAsia="en-CA"/>
      </w:rPr>
      <w:fldChar w:fldCharType="begin"/>
    </w:r>
    <w:r>
      <w:rPr>
        <w:rStyle w:val="PageNumber"/>
        <w:rFonts w:ascii="Times New Roman" w:hAnsi="Times New Roman"/>
        <w:lang w:val="en-CA" w:eastAsia="en-CA"/>
      </w:rPr>
      <w:instrText xml:space="preserve"> PAGE </w:instrText>
    </w:r>
    <w:r>
      <w:rPr>
        <w:rStyle w:val="PageNumber"/>
        <w:rFonts w:ascii="Times New Roman" w:hAnsi="Times New Roman"/>
        <w:lang w:val="en-CA" w:eastAsia="en-CA"/>
      </w:rPr>
      <w:fldChar w:fldCharType="separate"/>
    </w:r>
    <w:r>
      <w:rPr>
        <w:rStyle w:val="PageNumber"/>
        <w:rFonts w:ascii="Times New Roman" w:hAnsi="Times New Roman"/>
        <w:lang w:val="en-CA" w:eastAsia="en-CA"/>
      </w:rPr>
      <w:t>11</w:t>
    </w:r>
    <w:r>
      <w:rPr>
        <w:rStyle w:val="PageNumber"/>
        <w:rFonts w:ascii="Times New Roman" w:hAnsi="Times New Roman"/>
        <w:lang w:val="en-CA" w:eastAsia="en-CA"/>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sz w:val="16"/>
      </w:rPr>
    </w:pPr>
    <w:r>
      <w:rPr>
        <w:rFonts w:ascii="Times New Roman" w:hAnsi="Times New Roman"/>
        <w:sz w:val="16"/>
      </w:rPr>
    </w:r>
  </w:p>
  <w:p>
    <w:pPr>
      <w:pStyle w:val="Footer"/>
      <w:bidi w:val="0"/>
      <w:jc w:val="start"/>
      <w:rPr>
        <w:rFonts w:ascii="Times New Roman" w:hAnsi="Times New Roman"/>
        <w:sz w:val="16"/>
      </w:rPr>
    </w:pPr>
    <w:r>
      <w:rPr>
        <w:rFonts w:ascii="Times New Roman" w:hAnsi="Times New Roman"/>
        <w:sz w:val="16"/>
        <w:lang w:val="en-CA" w:eastAsia="en-CA"/>
      </w:rPr>
      <w:fldChar w:fldCharType="begin"/>
    </w:r>
    <w:r>
      <w:rPr>
        <w:sz w:val="16"/>
        <w:rFonts w:ascii="Times New Roman" w:hAnsi="Times New Roman"/>
        <w:lang w:val="en-CA" w:eastAsia="en-CA"/>
      </w:rPr>
      <w:instrText xml:space="preserve"> FILENAME </w:instrText>
    </w:r>
    <w:r>
      <w:rPr>
        <w:sz w:val="16"/>
        <w:rFonts w:ascii="Times New Roman" w:hAnsi="Times New Roman"/>
        <w:lang w:val="en-CA" w:eastAsia="en-CA"/>
      </w:rPr>
      <w:fldChar w:fldCharType="separate"/>
    </w:r>
    <w:r>
      <w:rPr>
        <w:sz w:val="16"/>
        <w:rFonts w:ascii="Times New Roman" w:hAnsi="Times New Roman"/>
        <w:lang w:val="en-CA" w:eastAsia="en-CA"/>
      </w:rPr>
      <w:t>Houston_418317_12.DOC</w:t>
    </w:r>
    <w:r>
      <w:rPr>
        <w:sz w:val="16"/>
        <w:rFonts w:ascii="Times New Roman" w:hAnsi="Times New Roman"/>
        <w:lang w:val="en-CA" w:eastAsia="en-CA"/>
      </w:rPr>
      <w:fldChar w:fldCharType="end"/>
    </w:r>
  </w:p>
  <w:p>
    <w:pPr>
      <w:pStyle w:val="Normal"/>
      <w:bidi w:val="0"/>
      <w:ind w:hanging="0" w:start="0" w:end="0"/>
      <w:jc w:val="center"/>
      <w:rPr/>
    </w:pPr>
    <w:r>
      <w:rPr>
        <w:rStyle w:val="PageNumber"/>
        <w:rFonts w:ascii="Times New Roman" w:hAnsi="Times New Roman"/>
        <w:lang w:val="en-CA" w:eastAsia="en-CA"/>
      </w:rPr>
      <w:fldChar w:fldCharType="begin"/>
    </w:r>
    <w:r>
      <w:rPr>
        <w:rStyle w:val="PageNumber"/>
        <w:rFonts w:ascii="Times New Roman" w:hAnsi="Times New Roman"/>
        <w:lang w:val="en-CA" w:eastAsia="en-CA"/>
      </w:rPr>
      <w:instrText xml:space="preserve"> PAGE </w:instrText>
    </w:r>
    <w:r>
      <w:rPr>
        <w:rStyle w:val="PageNumber"/>
        <w:rFonts w:ascii="Times New Roman" w:hAnsi="Times New Roman"/>
        <w:lang w:val="en-CA" w:eastAsia="en-CA"/>
      </w:rPr>
      <w:fldChar w:fldCharType="separate"/>
    </w:r>
    <w:r>
      <w:rPr>
        <w:rStyle w:val="PageNumber"/>
        <w:rFonts w:ascii="Times New Roman" w:hAnsi="Times New Roman"/>
        <w:lang w:val="en-CA" w:eastAsia="en-CA"/>
      </w:rPr>
      <w:t>11</w:t>
    </w:r>
    <w:r>
      <w:rPr>
        <w:rStyle w:val="PageNumber"/>
        <w:rFonts w:ascii="Times New Roman" w:hAnsi="Times New Roman"/>
        <w:lang w:val="en-CA" w:eastAsia="en-CA"/>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240"/>
      <w:ind w:hanging="0" w:start="0" w:end="0"/>
      <w:jc w:val="start"/>
      <w:rPr>
        <w:rFonts w:ascii="Times New Roman" w:hAnsi="Times New Roman"/>
        <w:sz w:val="16"/>
      </w:rPr>
    </w:pPr>
    <w:r>
      <w:rPr>
        <w:rFonts w:ascii="Times New Roman" w:hAnsi="Times New Roman"/>
        <w:sz w:val="16"/>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sz w:val="16"/>
      </w:rPr>
    </w:pPr>
    <w:r>
      <w:rPr>
        <w:rFonts w:ascii="Times New Roman" w:hAnsi="Times New Roman"/>
        <w:sz w:val="16"/>
      </w:rPr>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center"/>
      <w:rPr>
        <w:rFonts w:ascii="Times New Roman" w:hAnsi="Times New Roman"/>
        <w:sz w:val="20"/>
      </w:rPr>
    </w:pPr>
    <w:r>
      <w:rPr>
        <w:rFonts w:ascii="Times New Roman" w:hAnsi="Times New Roman"/>
        <w:sz w:val="20"/>
      </w:rPr>
      <w:t xml:space="preserve">[Signature Page - Margin Agreement between </w:t>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center"/>
      <w:rPr>
        <w:rFonts w:ascii="Times New Roman" w:hAnsi="Times New Roman"/>
        <w:sz w:val="16"/>
      </w:rPr>
    </w:pPr>
    <w:r>
      <w:rPr>
        <w:rFonts w:ascii="Times New Roman" w:hAnsi="Times New Roman"/>
        <w:sz w:val="20"/>
      </w:rPr>
      <w:t>Enron North America Corp. and Mahonia Limited]</w:t>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sz w:val="16"/>
      </w:rPr>
    </w:pPr>
    <w:r>
      <w:rPr>
        <w:rFonts w:ascii="Times New Roman" w:hAnsi="Times New Roman"/>
        <w:sz w:val="16"/>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240"/>
      <w:ind w:hanging="0" w:start="0" w:end="0"/>
      <w:jc w:val="start"/>
      <w:rPr>
        <w:rFonts w:ascii="Times New Roman" w:hAnsi="Times New Roman"/>
        <w:sz w:val="16"/>
      </w:rPr>
    </w:pPr>
    <w:r>
      <w:rPr>
        <w:rFonts w:ascii="Times New Roman" w:hAnsi="Times New Roman"/>
        <w:sz w:val="16"/>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sz w:val="16"/>
      </w:rPr>
    </w:pPr>
    <w:r>
      <w:rPr>
        <w:rFonts w:ascii="Times New Roman" w:hAnsi="Times New Roman"/>
        <w:sz w:val="16"/>
      </w:rPr>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center"/>
      <w:rPr>
        <w:rFonts w:ascii="Times New Roman" w:hAnsi="Times New Roman"/>
        <w:sz w:val="20"/>
      </w:rPr>
    </w:pPr>
    <w:r>
      <w:rPr>
        <w:rFonts w:ascii="Times New Roman" w:hAnsi="Times New Roman"/>
        <w:sz w:val="20"/>
      </w:rPr>
      <w:t xml:space="preserve">[Signature Page - Margin Agreement between </w:t>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center"/>
      <w:rPr>
        <w:rFonts w:ascii="Times New Roman" w:hAnsi="Times New Roman"/>
        <w:sz w:val="16"/>
      </w:rPr>
    </w:pPr>
    <w:r>
      <w:rPr>
        <w:rFonts w:ascii="Times New Roman" w:hAnsi="Times New Roman"/>
        <w:sz w:val="20"/>
      </w:rPr>
      <w:t>Enron North America Corp. and Mahonia Limited]</w:t>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sz w:val="16"/>
      </w:rPr>
    </w:pPr>
    <w:r>
      <w:rPr>
        <w:rFonts w:ascii="Times New Roman" w:hAnsi="Times New Roman"/>
        <w:sz w:val="16"/>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ind w:hanging="0" w:start="0" w:end="0"/>
      <w:jc w:val="start"/>
      <w:rPr>
        <w:sz w:val="16"/>
      </w:rPr>
    </w:pPr>
    <w:r>
      <w:rPr>
        <w:sz w:val="16"/>
      </w:rPr>
    </w:r>
  </w:p>
  <w:p>
    <w:pPr>
      <w:pStyle w:val="Normal"/>
      <w:bidi w:val="0"/>
      <w:ind w:hanging="0" w:start="0" w:end="0"/>
      <w:jc w:val="center"/>
      <w:rPr>
        <w:rFonts w:ascii="Times New Roman" w:hAnsi="Times New Roman"/>
        <w:sz w:val="20"/>
      </w:rPr>
    </w:pPr>
    <w:r>
      <w:rPr>
        <w:rFonts w:ascii="Times New Roman" w:hAnsi="Times New Roman"/>
        <w:sz w:val="20"/>
      </w:rPr>
      <w:t>Exhibit B</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ind w:hanging="0" w:start="0" w:end="0"/>
      <w:jc w:val="start"/>
      <w:rPr>
        <w:sz w:val="16"/>
      </w:rPr>
    </w:pPr>
    <w:r>
      <w:rPr>
        <w:sz w:val="16"/>
      </w:rPr>
    </w:r>
  </w:p>
  <w:p>
    <w:pPr>
      <w:pStyle w:val="Normal"/>
      <w:bidi w:val="0"/>
      <w:ind w:hanging="0" w:start="0" w:end="0"/>
      <w:jc w:val="center"/>
      <w:rPr>
        <w:rFonts w:ascii="Times New Roman" w:hAnsi="Times New Roman"/>
        <w:sz w:val="20"/>
      </w:rPr>
    </w:pPr>
    <w:r>
      <w:rPr>
        <w:rFonts w:ascii="Times New Roman" w:hAnsi="Times New Roman"/>
        <w:sz w:val="20"/>
      </w:rPr>
      <w:t>Exhibit B</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ind w:hanging="0" w:start="0" w:end="0"/>
      <w:jc w:val="start"/>
      <w:textAlignment w:val="auto"/>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rFonts w:ascii="Times New Roman" w:hAnsi="Times New Roman"/>
        <w:b/>
      </w:rPr>
    </w:pPr>
    <w:r>
      <w:rPr>
        <w:rFonts w:ascii="Times New Roman" w:hAnsi="Times New Roman"/>
        <w:b/>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rFonts w:ascii="Times New Roman" w:hAnsi="Times New Roman"/>
        <w:b/>
      </w:rPr>
    </w:pPr>
    <w:r>
      <w:rPr>
        <w:rFonts w:ascii="Times New Roman" w:hAnsi="Times New Roman"/>
        <w:b/>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ind w:hanging="0" w:start="0" w:end="0"/>
      <w:jc w:val="start"/>
      <w:textAlignment w:val="auto"/>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rFonts w:ascii="Times New Roman" w:hAnsi="Times New Roman"/>
        <w:b/>
      </w:rPr>
    </w:pPr>
    <w:r>
      <w:rPr>
        <w:rFonts w:ascii="Times New Roman" w:hAnsi="Times New Roman"/>
        <w:b/>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rFonts w:ascii="Times New Roman" w:hAnsi="Times New Roman"/>
        <w:b/>
      </w:rPr>
    </w:pPr>
    <w:r>
      <w:rPr>
        <w:rFonts w:ascii="Times New Roman" w:hAnsi="Times New Roman"/>
        <w:b/>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rFonts w:ascii="Times New Roman" w:hAnsi="Times New Roman"/>
        <w:b/>
      </w:rPr>
    </w:pPr>
    <w:r>
      <w:rPr>
        <w:rFonts w:ascii="Times New Roman" w:hAnsi="Times New Roman"/>
        <w:b/>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rFonts w:ascii="Times New Roman" w:hAnsi="Times New Roman"/>
        <w:b/>
      </w:rPr>
    </w:pPr>
    <w:r>
      <w:rPr>
        <w:rFonts w:ascii="Times New Roman" w:hAnsi="Times New Roman"/>
        <w:b/>
      </w:rPr>
    </w:r>
  </w:p>
</w:hdr>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jc w:val="start"/>
      <w:textAlignment w:val="auto"/>
    </w:pPr>
    <w:rPr>
      <w:rFonts w:ascii="Letter Gothic" w:hAnsi="Letter Gothic" w:eastAsia="Times New Roman" w:cs="Times New Roman"/>
      <w:color w:val="auto"/>
      <w:kern w:val="2"/>
      <w:sz w:val="24"/>
      <w:szCs w:val="24"/>
      <w:lang w:val="en-US" w:eastAsia="en-US" w:bidi="hi-IN"/>
    </w:rPr>
  </w:style>
  <w:style w:type="character" w:styleId="DefaultParagraphFont">
    <w:name w:val="Default Paragraph Font"/>
    <w:qFormat/>
    <w:rPr/>
  </w:style>
  <w:style w:type="character" w:styleId="FootnoteCharacters">
    <w:name w:val="Footnote Characters"/>
    <w:basedOn w:val="DefaultParagraphFont"/>
    <w:qFormat/>
    <w:rPr/>
  </w:style>
  <w:style w:type="character" w:styleId="PageNumber">
    <w:name w:val="page number"/>
    <w:basedOn w:val="DefaultParagraphFon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ind w:hanging="0" w:start="0" w:end="0"/>
      <w:jc w:val="start"/>
      <w:textAlignment w:val="auto"/>
    </w:pPr>
    <w:rPr>
      <w:rFonts w:ascii="Letter Gothic" w:hAnsi="Letter Gothic"/>
      <w:sz w:val="24"/>
      <w:lang w:val="en-US" w:eastAsia="en-US"/>
    </w:rPr>
  </w:style>
  <w:style w:type="paragraph" w:styleId="Footer">
    <w:name w:val="footer"/>
    <w:basedOn w:val="Normal"/>
    <w:pPr>
      <w:widowControl w:val="false"/>
      <w:tabs>
        <w:tab w:val="clear" w:pos="720"/>
        <w:tab w:val="center" w:pos="4320" w:leader="none"/>
        <w:tab w:val="right" w:pos="8640" w:leader="none"/>
      </w:tabs>
      <w:ind w:hanging="0" w:start="0" w:end="0"/>
      <w:jc w:val="start"/>
      <w:textAlignment w:val="auto"/>
    </w:pPr>
    <w:rPr>
      <w:rFonts w:ascii="Letter Gothic" w:hAnsi="Letter Gothic"/>
      <w:sz w:val="24"/>
      <w:lang w:val="en-US" w:eastAsia="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footer" Target="footer9.xml"/><Relationship Id="rId19" Type="http://schemas.openxmlformats.org/officeDocument/2006/relationships/header" Target="header9.xml"/><Relationship Id="rId20" Type="http://schemas.openxmlformats.org/officeDocument/2006/relationships/header" Target="header10.xml"/><Relationship Id="rId21" Type="http://schemas.openxmlformats.org/officeDocument/2006/relationships/footer" Target="footer10.xml"/><Relationship Id="rId22" Type="http://schemas.openxmlformats.org/officeDocument/2006/relationships/footer" Target="footer11.xml"/><Relationship Id="rId23" Type="http://schemas.openxmlformats.org/officeDocument/2006/relationships/fontTable" Target="fontTable.xml"/><Relationship Id="rId24" Type="http://schemas.openxmlformats.org/officeDocument/2006/relationships/settings" Target="settings.xml"/><Relationship Id="rId2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5123</Words>
  <Characters>32356</Characters>
  <CharactersWithSpaces>26748</CharactersWithSpaces>
  <Company>Vinson &amp; Elkins L.L.P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2000-12-22T16:00:00Z</dcterms:created>
  <dc:creator>August E. Shouse</dc:creator>
  <dc:description/>
  <dc:language>en-CA</dc:language>
  <cp:lastModifiedBy/>
  <cp:lastPrinted>2000-12-22T15:58:00Z</cp:lastPrinted>
  <dcterms:modified xsi:type="dcterms:W3CDTF">2000-12-22T16:00:00Z</dcterms:modified>
  <cp:revision>2</cp:revision>
  <dc:subject/>
  <dc:title>EXECUTION COPY</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Vinson &amp; Elkins L.L.P.</vt:lpwstr>
  </property>
</Properties>
</file>