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b/>
        </w:rPr>
      </w:r>
      <w:bookmarkStart w:id="0" w:name="QuickMark"/>
      <w:bookmarkStart w:id="1" w:name="QuickMark"/>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pPr>
      <w:r>
        <w:rPr/>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28, 2000 between ENRON CORP., an Oregon corporation ("</w:t>
      </w:r>
      <w:r>
        <w:rPr>
          <w:u w:val="single"/>
        </w:rPr>
        <w:t>Enron</w:t>
      </w:r>
      <w:r>
        <w:rPr/>
        <w:t xml:space="preserve">"), </w:t>
      </w:r>
      <w:r>
        <w:rPr>
          <w:strike/>
        </w:rPr>
        <w:t>and</w:t>
      </w:r>
      <w:r>
        <w:rPr/>
        <w:t xml:space="preserve"> THE CHASE MANHATTAN BANK, a New York State banking corporation </w:t>
      </w:r>
      <w:r>
        <w:rPr>
          <w:strike/>
        </w:rPr>
        <w:t>(the "Assignee Agent").</w:t>
      </w:r>
      <w:r>
        <w:rPr/>
        <w:t xml:space="preserve"> </w:t>
      </w:r>
      <w:r>
        <w:rPr>
          <w:b/>
          <w:u w:val="double"/>
        </w:rPr>
        <w:t>and ____________________ (collectively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Enron and Mahonia Natural Gas Limited, a company incorporated under the laws of Jersey (the  "</w:t>
      </w:r>
      <w:r>
        <w:rPr>
          <w:u w:val="single"/>
        </w:rPr>
        <w:t>Company</w:t>
      </w:r>
      <w:r>
        <w:rPr/>
        <w:t>"), are party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The Company </w:t>
      </w:r>
      <w:r>
        <w:rPr>
          <w:strike/>
        </w:rPr>
        <w:t>, the Assignee Agent and _____________ (collectively, the “Purchasers”)</w:t>
      </w:r>
      <w:r>
        <w:rPr/>
        <w:t xml:space="preserve"> </w:t>
      </w:r>
      <w:r>
        <w:rPr>
          <w:b/>
          <w:u w:val="double"/>
        </w:rPr>
        <w:t>and the Purchasers</w:t>
      </w:r>
      <w:r>
        <w:rPr/>
        <w:t xml:space="preserve">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the Guaranty Agreement.</w:t>
      </w:r>
      <w:r>
        <w:rPr>
          <w:strike/>
        </w:rPr>
        <w: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Assignment Agreement and, accordingly, hereby consents to the assignment by the Company to the Purchasers of all of its right, title and interest in, to and under the Guaranty Agreement and agrees that (as contemplated by the Assignment Agreement), the </w:t>
      </w:r>
      <w:r>
        <w:rPr>
          <w:strike/>
        </w:rPr>
        <w:t>Assignee Agent (on behalf of itself and the other Purchasers)</w:t>
      </w:r>
      <w:r>
        <w:rPr/>
        <w:t xml:space="preserve"> </w:t>
      </w:r>
      <w:r>
        <w:rPr>
          <w:b/>
          <w:u w:val="double"/>
        </w:rPr>
        <w:t>Purchasers</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 certifications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ab/>
        <w:tab/>
        <w:tab/>
        <w:tab/>
        <w:tab/>
        <w:tab/>
      </w:r>
      <w:r>
        <w:rPr>
          <w:b/>
          <w:u w:val="double"/>
        </w:rPr>
        <w:t>Title:_______________________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404983_2.DOC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Houston_418290_15.DOC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Houston_418290_15.DOC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462</Words>
  <Characters>3141</Characters>
  <CharactersWithSpaces>2675</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2000-12-22T15:44:00Z</dcterms:created>
  <dc:creator>Vinson &amp; Elkins L.L.P.</dc:creator>
  <dc:description/>
  <dc:language>en-CA</dc:language>
  <cp:lastModifiedBy/>
  <cp:lastPrinted>2000-12-22T15:43:00Z</cp:lastPrinted>
  <dcterms:modified xsi:type="dcterms:W3CDTF">2000-12-22T15:44:00Z</dcterms:modified>
  <cp:revision>2</cp:revision>
  <dc:subject/>
  <dc:title>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